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2256"/>
        <w:gridCol w:w="5746"/>
        <w:gridCol w:w="1636"/>
      </w:tblGrid>
      <w:tr w:rsidR="00615522" w14:paraId="014FFB84" w14:textId="77777777" w:rsidTr="005F0341">
        <w:trPr>
          <w:jc w:val="center"/>
        </w:trPr>
        <w:tc>
          <w:tcPr>
            <w:tcW w:w="1200" w:type="pct"/>
            <w:vAlign w:val="center"/>
          </w:tcPr>
          <w:p w14:paraId="0AB86E6E" w14:textId="77777777" w:rsidR="00615522" w:rsidRDefault="00615522" w:rsidP="005F0341">
            <w:pPr>
              <w:pStyle w:val="Header"/>
              <w:tabs>
                <w:tab w:val="clear" w:pos="9360"/>
                <w:tab w:val="left" w:pos="5785"/>
              </w:tabs>
            </w:pPr>
            <w:r w:rsidRPr="00247733">
              <w:rPr>
                <w:noProof/>
                <w:lang w:val="id-ID" w:eastAsia="id-ID"/>
              </w:rPr>
              <w:drawing>
                <wp:inline distT="0" distB="0" distL="0" distR="0" wp14:anchorId="63C89A50" wp14:editId="21D4DC4F">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081" w:type="pct"/>
            <w:shd w:val="clear" w:color="auto" w:fill="DEEAF6" w:themeFill="accent5" w:themeFillTint="33"/>
            <w:vAlign w:val="center"/>
          </w:tcPr>
          <w:p w14:paraId="260A4787" w14:textId="77777777" w:rsidR="0075790C" w:rsidRPr="00024809" w:rsidRDefault="0075790C" w:rsidP="0075790C">
            <w:pPr>
              <w:pStyle w:val="Header"/>
              <w:tabs>
                <w:tab w:val="clear" w:pos="4680"/>
                <w:tab w:val="clear" w:pos="9360"/>
                <w:tab w:val="right" w:pos="6872"/>
              </w:tabs>
              <w:jc w:val="center"/>
              <w:rPr>
                <w:b/>
                <w:bCs/>
                <w:sz w:val="56"/>
                <w:szCs w:val="56"/>
              </w:rPr>
            </w:pPr>
            <w:r w:rsidRPr="00024809">
              <w:rPr>
                <w:b/>
                <w:bCs/>
                <w:sz w:val="56"/>
                <w:szCs w:val="56"/>
              </w:rPr>
              <w:t>Global Forest Journal</w:t>
            </w:r>
          </w:p>
          <w:p w14:paraId="703A5C67" w14:textId="4D4A4C03" w:rsidR="00615522" w:rsidRPr="004E31C7" w:rsidRDefault="00E71711" w:rsidP="0075790C">
            <w:pPr>
              <w:pStyle w:val="Header"/>
              <w:tabs>
                <w:tab w:val="clear" w:pos="9360"/>
                <w:tab w:val="left" w:pos="5785"/>
              </w:tabs>
              <w:jc w:val="center"/>
              <w:rPr>
                <w:sz w:val="26"/>
                <w:szCs w:val="26"/>
              </w:rPr>
            </w:pPr>
            <w:r w:rsidRPr="00973A1F">
              <w:rPr>
                <w:rFonts w:cs="Times New Roman"/>
                <w:color w:val="000000" w:themeColor="text1"/>
                <w:sz w:val="18"/>
                <w:szCs w:val="18"/>
                <w:lang w:val="id-ID"/>
              </w:rPr>
              <w:t xml:space="preserve">Journal homepage: </w:t>
            </w:r>
            <w:r w:rsidRPr="00973A1F">
              <w:rPr>
                <w:rFonts w:cs="Times New Roman"/>
                <w:color w:val="000000" w:themeColor="text1"/>
                <w:sz w:val="18"/>
                <w:szCs w:val="18"/>
                <w:lang w:val="en-US"/>
              </w:rPr>
              <w:t>https://talenta.usu.ac.id/gfj</w:t>
            </w:r>
          </w:p>
        </w:tc>
        <w:tc>
          <w:tcPr>
            <w:tcW w:w="719" w:type="pct"/>
            <w:vAlign w:val="center"/>
          </w:tcPr>
          <w:p w14:paraId="09F7C512" w14:textId="507AF641" w:rsidR="00615522" w:rsidRDefault="00E71711" w:rsidP="005F0341">
            <w:pPr>
              <w:pStyle w:val="Header"/>
              <w:tabs>
                <w:tab w:val="clear" w:pos="9360"/>
                <w:tab w:val="left" w:pos="5785"/>
              </w:tabs>
              <w:jc w:val="center"/>
            </w:pPr>
            <w:r w:rsidRPr="00B56367">
              <w:rPr>
                <w:noProof/>
                <w:color w:val="000000" w:themeColor="text1"/>
              </w:rPr>
              <w:drawing>
                <wp:inline distT="0" distB="0" distL="0" distR="0" wp14:anchorId="1845F5C1" wp14:editId="4EF1B44B">
                  <wp:extent cx="898525" cy="786210"/>
                  <wp:effectExtent l="0" t="0" r="3175" b="0"/>
                  <wp:docPr id="1683867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67167" name=""/>
                          <pic:cNvPicPr/>
                        </pic:nvPicPr>
                        <pic:blipFill>
                          <a:blip r:embed="rId9"/>
                          <a:stretch>
                            <a:fillRect/>
                          </a:stretch>
                        </pic:blipFill>
                        <pic:spPr>
                          <a:xfrm>
                            <a:off x="0" y="0"/>
                            <a:ext cx="901137" cy="788495"/>
                          </a:xfrm>
                          <a:prstGeom prst="rect">
                            <a:avLst/>
                          </a:prstGeom>
                        </pic:spPr>
                      </pic:pic>
                    </a:graphicData>
                  </a:graphic>
                </wp:inline>
              </w:drawing>
            </w:r>
          </w:p>
        </w:tc>
      </w:tr>
    </w:tbl>
    <w:p w14:paraId="439EA4A9" w14:textId="2FCB20CD" w:rsidR="0032335D" w:rsidRDefault="00C96281" w:rsidP="00205B83">
      <w:pPr>
        <w:spacing w:before="240" w:after="240"/>
        <w:jc w:val="both"/>
        <w:rPr>
          <w:rFonts w:cs="Times New Roman"/>
          <w:b/>
          <w:bCs/>
          <w:sz w:val="32"/>
          <w:szCs w:val="32"/>
        </w:rPr>
      </w:pPr>
      <w:r w:rsidRPr="00C96281">
        <w:rPr>
          <w:rFonts w:cs="Times New Roman"/>
          <w:b/>
          <w:bCs/>
          <w:sz w:val="32"/>
          <w:szCs w:val="32"/>
        </w:rPr>
        <w:t>Floristic diversity of dipterocarpaceae in the Sungai Harapan Protected Forest, Batam Island, Indonesia</w:t>
      </w:r>
    </w:p>
    <w:p w14:paraId="381FD158" w14:textId="417D7098" w:rsidR="0032335D" w:rsidRPr="004D3888" w:rsidRDefault="00EE1CDC" w:rsidP="00205B83">
      <w:pPr>
        <w:jc w:val="both"/>
        <w:rPr>
          <w:rFonts w:cs="Times New Roman"/>
          <w:sz w:val="28"/>
          <w:szCs w:val="28"/>
          <w:lang w:val="en-US"/>
        </w:rPr>
      </w:pPr>
      <w:r w:rsidRPr="00EE1CDC">
        <w:rPr>
          <w:rFonts w:cs="Times New Roman"/>
          <w:sz w:val="28"/>
          <w:szCs w:val="28"/>
          <w:lang w:val="en-US"/>
        </w:rPr>
        <w:t>Muhammad Hisyam,</w:t>
      </w:r>
      <w:r>
        <w:rPr>
          <w:rFonts w:cs="Times New Roman"/>
          <w:sz w:val="28"/>
          <w:szCs w:val="28"/>
          <w:lang w:val="en-US"/>
        </w:rPr>
        <w:t xml:space="preserve"> </w:t>
      </w:r>
      <w:r w:rsidRPr="00EE1CDC">
        <w:rPr>
          <w:rFonts w:cs="Times New Roman"/>
          <w:sz w:val="28"/>
          <w:szCs w:val="28"/>
          <w:lang w:val="en-US"/>
        </w:rPr>
        <w:t>Enny Insusanty*,</w:t>
      </w:r>
      <w:r>
        <w:rPr>
          <w:rFonts w:cs="Times New Roman"/>
          <w:sz w:val="28"/>
          <w:szCs w:val="28"/>
          <w:lang w:val="en-US"/>
        </w:rPr>
        <w:t xml:space="preserve"> </w:t>
      </w:r>
      <w:r w:rsidRPr="00EE1CDC">
        <w:rPr>
          <w:rFonts w:cs="Times New Roman"/>
          <w:sz w:val="28"/>
          <w:szCs w:val="28"/>
          <w:lang w:val="en-US"/>
        </w:rPr>
        <w:t>Azwin, Sri Rahayu Prastyaningsih</w:t>
      </w:r>
    </w:p>
    <w:p w14:paraId="4D537F7A" w14:textId="3BA8055A" w:rsidR="0032335D" w:rsidRPr="00EE1CDC" w:rsidRDefault="00EE1CDC" w:rsidP="00205B83">
      <w:pPr>
        <w:jc w:val="both"/>
        <w:rPr>
          <w:rFonts w:cs="Times New Roman"/>
          <w:i/>
          <w:iCs/>
          <w:sz w:val="21"/>
          <w:szCs w:val="21"/>
          <w:lang w:val="en-US"/>
        </w:rPr>
      </w:pPr>
      <w:r w:rsidRPr="00EE1CDC">
        <w:rPr>
          <w:rFonts w:cs="Times New Roman"/>
          <w:i/>
          <w:iCs/>
          <w:sz w:val="21"/>
          <w:szCs w:val="21"/>
          <w:lang w:val="en-US"/>
        </w:rPr>
        <w:t>Forestry Depart</w:t>
      </w:r>
      <w:r w:rsidR="000738EB">
        <w:rPr>
          <w:rFonts w:cs="Times New Roman"/>
          <w:i/>
          <w:iCs/>
          <w:sz w:val="21"/>
          <w:szCs w:val="21"/>
          <w:lang w:val="en-US"/>
        </w:rPr>
        <w:t>ment,</w:t>
      </w:r>
      <w:r w:rsidRPr="00EE1CDC">
        <w:rPr>
          <w:rFonts w:cs="Times New Roman"/>
          <w:i/>
          <w:iCs/>
          <w:sz w:val="21"/>
          <w:szCs w:val="21"/>
          <w:lang w:val="en-US"/>
        </w:rPr>
        <w:t xml:space="preserve"> Lancang Kuning University,</w:t>
      </w:r>
      <w:r w:rsidR="000738EB">
        <w:rPr>
          <w:rFonts w:cs="Times New Roman"/>
          <w:i/>
          <w:iCs/>
          <w:sz w:val="21"/>
          <w:szCs w:val="21"/>
          <w:lang w:val="en-US"/>
        </w:rPr>
        <w:t xml:space="preserve"> </w:t>
      </w:r>
      <w:r w:rsidRPr="00EE1CDC">
        <w:rPr>
          <w:rFonts w:cs="Times New Roman"/>
          <w:i/>
          <w:iCs/>
          <w:sz w:val="21"/>
          <w:szCs w:val="21"/>
          <w:lang w:val="en-US"/>
        </w:rPr>
        <w:t>Pekanbaru, 25584,</w:t>
      </w:r>
      <w:r w:rsidR="000738EB">
        <w:rPr>
          <w:rFonts w:cs="Times New Roman"/>
          <w:i/>
          <w:iCs/>
          <w:sz w:val="21"/>
          <w:szCs w:val="21"/>
          <w:lang w:val="en-US"/>
        </w:rPr>
        <w:t xml:space="preserve"> </w:t>
      </w:r>
      <w:r w:rsidRPr="00EE1CDC">
        <w:rPr>
          <w:rFonts w:cs="Times New Roman"/>
          <w:i/>
          <w:iCs/>
          <w:sz w:val="21"/>
          <w:szCs w:val="21"/>
          <w:lang w:val="en-US"/>
        </w:rPr>
        <w:t>Indonesia</w:t>
      </w:r>
    </w:p>
    <w:p w14:paraId="174E3D5F" w14:textId="3C277326" w:rsidR="0032335D" w:rsidRDefault="0032335D" w:rsidP="00205B83">
      <w:pPr>
        <w:jc w:val="both"/>
        <w:rPr>
          <w:rFonts w:cs="Times New Roman"/>
          <w:sz w:val="20"/>
          <w:szCs w:val="20"/>
        </w:rPr>
      </w:pPr>
      <w:r w:rsidRPr="00B22B95">
        <w:rPr>
          <w:rFonts w:cs="Times New Roman"/>
          <w:sz w:val="20"/>
          <w:szCs w:val="20"/>
          <w:vertAlign w:val="superscript"/>
        </w:rPr>
        <w:t>*</w:t>
      </w:r>
      <w:r w:rsidRPr="00474A92">
        <w:rPr>
          <w:rFonts w:cs="Times New Roman"/>
          <w:sz w:val="20"/>
          <w:szCs w:val="20"/>
        </w:rPr>
        <w:t xml:space="preserve">Corresponding Author: </w:t>
      </w:r>
      <w:hyperlink r:id="rId10" w:history="1">
        <w:r w:rsidR="00EE1CDC" w:rsidRPr="00166FFB">
          <w:rPr>
            <w:rStyle w:val="Hyperlink"/>
            <w:sz w:val="20"/>
            <w:szCs w:val="20"/>
          </w:rPr>
          <w:t>ennyinsusanty@unilak.ac.id</w:t>
        </w:r>
      </w:hyperlink>
      <w:r w:rsidR="00EE1CDC">
        <w:rPr>
          <w:rFonts w:cs="Times New Roman"/>
          <w:sz w:val="20"/>
          <w:szCs w:val="20"/>
        </w:rPr>
        <w:t xml:space="preserve"> </w:t>
      </w:r>
    </w:p>
    <w:p w14:paraId="2F951505" w14:textId="77777777" w:rsidR="0032335D" w:rsidRPr="00A479CC" w:rsidRDefault="0032335D" w:rsidP="0032335D">
      <w:pPr>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22"/>
        <w:gridCol w:w="6716"/>
      </w:tblGrid>
      <w:tr w:rsidR="0032335D" w:rsidRPr="00A479CC" w14:paraId="6CEEE9B0" w14:textId="77777777" w:rsidTr="00507C30">
        <w:tc>
          <w:tcPr>
            <w:tcW w:w="1401" w:type="pct"/>
            <w:tcBorders>
              <w:top w:val="single" w:sz="4" w:space="0" w:color="auto"/>
              <w:bottom w:val="single" w:sz="4" w:space="0" w:color="auto"/>
            </w:tcBorders>
          </w:tcPr>
          <w:p w14:paraId="05541A71" w14:textId="69AD234A" w:rsidR="0032335D" w:rsidRPr="00A479CC" w:rsidRDefault="0032335D" w:rsidP="00507C30">
            <w:pPr>
              <w:pStyle w:val="InfoArtikel"/>
              <w:jc w:val="both"/>
              <w:rPr>
                <w:rFonts w:ascii="Times New Roman" w:hAnsi="Times New Roman" w:cs="Times New Roman"/>
              </w:rPr>
            </w:pPr>
            <w:r w:rsidRPr="00A479CC">
              <w:rPr>
                <w:rFonts w:ascii="Times New Roman" w:hAnsi="Times New Roman" w:cs="Times New Roman"/>
              </w:rPr>
              <w:t>ARTICLE</w:t>
            </w:r>
            <w:r w:rsidR="00AF3D5D">
              <w:rPr>
                <w:rFonts w:ascii="Times New Roman" w:hAnsi="Times New Roman" w:cs="Times New Roman"/>
              </w:rPr>
              <w:t xml:space="preserve"> </w:t>
            </w:r>
            <w:r w:rsidRPr="00A479CC">
              <w:rPr>
                <w:rFonts w:ascii="Times New Roman" w:hAnsi="Times New Roman" w:cs="Times New Roman"/>
              </w:rPr>
              <w:t xml:space="preserve"> INFO</w:t>
            </w:r>
          </w:p>
        </w:tc>
        <w:tc>
          <w:tcPr>
            <w:tcW w:w="115" w:type="pct"/>
            <w:vMerge w:val="restart"/>
          </w:tcPr>
          <w:p w14:paraId="06870851" w14:textId="77777777" w:rsidR="0032335D" w:rsidRPr="00A479CC" w:rsidRDefault="0032335D" w:rsidP="00507C30">
            <w:pPr>
              <w:pStyle w:val="Abstrak"/>
              <w:jc w:val="both"/>
              <w:rPr>
                <w:rFonts w:ascii="Times New Roman" w:hAnsi="Times New Roman"/>
                <w:iCs w:val="0"/>
              </w:rPr>
            </w:pPr>
          </w:p>
        </w:tc>
        <w:tc>
          <w:tcPr>
            <w:tcW w:w="3484" w:type="pct"/>
            <w:tcBorders>
              <w:top w:val="single" w:sz="4" w:space="0" w:color="auto"/>
              <w:bottom w:val="single" w:sz="4" w:space="0" w:color="auto"/>
            </w:tcBorders>
          </w:tcPr>
          <w:p w14:paraId="0556C5CD" w14:textId="77777777" w:rsidR="0032335D" w:rsidRPr="00CC2E5E" w:rsidRDefault="0032335D" w:rsidP="00507C30">
            <w:pPr>
              <w:pStyle w:val="Abstrak"/>
              <w:jc w:val="both"/>
              <w:rPr>
                <w:rFonts w:ascii="Times New Roman" w:hAnsi="Times New Roman"/>
                <w:iCs w:val="0"/>
                <w:szCs w:val="20"/>
              </w:rPr>
            </w:pPr>
            <w:r w:rsidRPr="00CC2E5E">
              <w:rPr>
                <w:rFonts w:ascii="Times New Roman" w:hAnsi="Times New Roman"/>
                <w:iCs w:val="0"/>
                <w:szCs w:val="20"/>
              </w:rPr>
              <w:t>ABSTRACT</w:t>
            </w:r>
          </w:p>
        </w:tc>
      </w:tr>
      <w:tr w:rsidR="0032335D" w:rsidRPr="00AC3F6C" w14:paraId="6A81E9BD" w14:textId="77777777" w:rsidTr="00507C30">
        <w:trPr>
          <w:trHeight w:val="1136"/>
        </w:trPr>
        <w:tc>
          <w:tcPr>
            <w:tcW w:w="1401" w:type="pct"/>
            <w:tcBorders>
              <w:top w:val="single" w:sz="4" w:space="0" w:color="auto"/>
              <w:bottom w:val="single" w:sz="4" w:space="0" w:color="auto"/>
            </w:tcBorders>
          </w:tcPr>
          <w:p w14:paraId="24880930" w14:textId="77777777" w:rsidR="0032335D" w:rsidRPr="00A479CC" w:rsidRDefault="0032335D" w:rsidP="00507C30">
            <w:pPr>
              <w:pStyle w:val="Sejarahartikel"/>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11D540D8" w14:textId="09494E4C" w:rsidR="0032335D" w:rsidRDefault="0032335D" w:rsidP="00507C30">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Received </w:t>
            </w:r>
            <w:r w:rsidR="00E3395E">
              <w:rPr>
                <w:rFonts w:ascii="Times New Roman" w:hAnsi="Times New Roman" w:cs="Times New Roman"/>
                <w:sz w:val="18"/>
                <w:szCs w:val="18"/>
              </w:rPr>
              <w:t>23 May 2026</w:t>
            </w:r>
          </w:p>
          <w:p w14:paraId="3D25601B" w14:textId="36B9EA11" w:rsidR="0032335D" w:rsidRDefault="0032335D" w:rsidP="00507C30">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Revised </w:t>
            </w:r>
            <w:r w:rsidR="00E3395E">
              <w:rPr>
                <w:rFonts w:ascii="Times New Roman" w:hAnsi="Times New Roman" w:cs="Times New Roman"/>
                <w:sz w:val="18"/>
                <w:szCs w:val="18"/>
              </w:rPr>
              <w:t>04 July 2026</w:t>
            </w:r>
          </w:p>
          <w:p w14:paraId="5DE4CA24" w14:textId="22E67E8B" w:rsidR="0032335D" w:rsidRDefault="0032335D" w:rsidP="00507C30">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Accepted </w:t>
            </w:r>
            <w:r w:rsidR="00E3395E">
              <w:rPr>
                <w:rFonts w:ascii="Times New Roman" w:hAnsi="Times New Roman" w:cs="Times New Roman"/>
                <w:sz w:val="18"/>
                <w:szCs w:val="18"/>
              </w:rPr>
              <w:t>12 July 2026</w:t>
            </w:r>
          </w:p>
          <w:p w14:paraId="2D2BBB38" w14:textId="0F5E4B2A" w:rsidR="0032335D" w:rsidRPr="00A479CC" w:rsidRDefault="0032335D" w:rsidP="00507C30">
            <w:pPr>
              <w:pStyle w:val="Isisejarahartikel"/>
              <w:rPr>
                <w:rFonts w:ascii="Times New Roman" w:hAnsi="Times New Roman" w:cs="Times New Roman"/>
                <w:sz w:val="18"/>
                <w:szCs w:val="18"/>
              </w:rPr>
            </w:pPr>
            <w:r w:rsidRPr="00A479CC">
              <w:rPr>
                <w:rFonts w:ascii="Times New Roman" w:hAnsi="Times New Roman" w:cs="Times New Roman"/>
                <w:sz w:val="18"/>
                <w:szCs w:val="18"/>
              </w:rPr>
              <w:t>Available online</w:t>
            </w:r>
            <w:r>
              <w:rPr>
                <w:rFonts w:ascii="Times New Roman" w:hAnsi="Times New Roman" w:cs="Times New Roman"/>
                <w:sz w:val="18"/>
                <w:szCs w:val="18"/>
              </w:rPr>
              <w:t xml:space="preserve"> </w:t>
            </w:r>
            <w:r w:rsidR="00E3395E">
              <w:rPr>
                <w:rFonts w:ascii="Times New Roman" w:hAnsi="Times New Roman" w:cs="Times New Roman"/>
                <w:sz w:val="18"/>
                <w:szCs w:val="18"/>
              </w:rPr>
              <w:t>31 July 2026</w:t>
            </w:r>
          </w:p>
          <w:p w14:paraId="01BA1BA7" w14:textId="77777777" w:rsidR="0032335D" w:rsidRPr="00A479CC" w:rsidRDefault="0032335D" w:rsidP="00507C30">
            <w:pPr>
              <w:pStyle w:val="Isisejarahartikel"/>
              <w:jc w:val="both"/>
              <w:rPr>
                <w:rFonts w:ascii="Times New Roman" w:hAnsi="Times New Roman" w:cs="Times New Roman"/>
                <w:sz w:val="18"/>
                <w:szCs w:val="18"/>
              </w:rPr>
            </w:pPr>
          </w:p>
          <w:p w14:paraId="4390453D" w14:textId="77777777" w:rsidR="009E5517" w:rsidRPr="00A479CC" w:rsidRDefault="0032335D" w:rsidP="009E5517">
            <w:pPr>
              <w:pStyle w:val="Default"/>
              <w:jc w:val="both"/>
              <w:rPr>
                <w:rFonts w:ascii="Times New Roman" w:hAnsi="Times New Roman" w:cs="Times New Roman"/>
                <w:sz w:val="18"/>
                <w:szCs w:val="18"/>
              </w:rPr>
            </w:pPr>
            <w:r w:rsidRPr="00A479CC">
              <w:rPr>
                <w:rFonts w:ascii="Times New Roman" w:hAnsi="Times New Roman" w:cs="Times New Roman"/>
                <w:sz w:val="18"/>
                <w:szCs w:val="18"/>
              </w:rPr>
              <w:t xml:space="preserve">E-ISSN: </w:t>
            </w:r>
            <w:r w:rsidR="009E5517">
              <w:rPr>
                <w:rFonts w:ascii="Times New Roman" w:hAnsi="Times New Roman" w:cs="Times New Roman"/>
                <w:sz w:val="18"/>
                <w:szCs w:val="18"/>
              </w:rPr>
              <w:t>3</w:t>
            </w:r>
            <w:r w:rsidR="009E5517" w:rsidRPr="008E7D92">
              <w:rPr>
                <w:rFonts w:ascii="Times New Roman" w:hAnsi="Times New Roman" w:cs="Times New Roman"/>
                <w:sz w:val="18"/>
                <w:szCs w:val="18"/>
                <w:shd w:val="clear" w:color="auto" w:fill="FFFFFF"/>
              </w:rPr>
              <w:t>024-9309</w:t>
            </w:r>
          </w:p>
          <w:p w14:paraId="5BC39402" w14:textId="10BD01F7" w:rsidR="0032335D" w:rsidRPr="00A479CC" w:rsidRDefault="0032335D" w:rsidP="00507C30">
            <w:pPr>
              <w:pStyle w:val="Default"/>
              <w:jc w:val="both"/>
              <w:rPr>
                <w:rFonts w:ascii="Times New Roman" w:hAnsi="Times New Roman" w:cs="Times New Roman"/>
                <w:sz w:val="18"/>
                <w:szCs w:val="18"/>
              </w:rPr>
            </w:pPr>
          </w:p>
          <w:p w14:paraId="40189D13" w14:textId="77777777" w:rsidR="0032335D" w:rsidRPr="00A479CC" w:rsidRDefault="0032335D" w:rsidP="009E5517">
            <w:pPr>
              <w:pStyle w:val="Default"/>
              <w:jc w:val="both"/>
              <w:rPr>
                <w:rFonts w:ascii="Times New Roman" w:hAnsi="Times New Roman" w:cs="Times New Roman"/>
                <w:sz w:val="18"/>
                <w:szCs w:val="18"/>
              </w:rPr>
            </w:pPr>
          </w:p>
        </w:tc>
        <w:tc>
          <w:tcPr>
            <w:tcW w:w="115" w:type="pct"/>
            <w:vMerge/>
          </w:tcPr>
          <w:p w14:paraId="0B4EB719" w14:textId="77777777" w:rsidR="0032335D" w:rsidRPr="00A479CC" w:rsidRDefault="0032335D" w:rsidP="00507C30">
            <w:pPr>
              <w:pStyle w:val="Isiabstrak"/>
              <w:rPr>
                <w:rFonts w:ascii="Times New Roman" w:hAnsi="Times New Roman" w:cs="Times New Roman"/>
                <w:iCs w:val="0"/>
              </w:rPr>
            </w:pPr>
          </w:p>
        </w:tc>
        <w:tc>
          <w:tcPr>
            <w:tcW w:w="3484" w:type="pct"/>
            <w:vMerge w:val="restart"/>
            <w:tcBorders>
              <w:top w:val="single" w:sz="4" w:space="0" w:color="auto"/>
            </w:tcBorders>
          </w:tcPr>
          <w:p w14:paraId="65D301B6" w14:textId="7986F1E5" w:rsidR="0032335D" w:rsidRPr="00321EE3" w:rsidRDefault="00EE1CDC" w:rsidP="00507C30">
            <w:pPr>
              <w:pStyle w:val="Isikeywords"/>
              <w:jc w:val="both"/>
              <w:rPr>
                <w:rFonts w:ascii="Times New Roman" w:hAnsi="Times New Roman" w:cs="Times New Roman"/>
                <w:i w:val="0"/>
                <w:sz w:val="20"/>
                <w:szCs w:val="20"/>
                <w:lang w:val="en-US"/>
              </w:rPr>
            </w:pPr>
            <w:r w:rsidRPr="00EE1CDC">
              <w:rPr>
                <w:rFonts w:ascii="Times New Roman" w:hAnsi="Times New Roman" w:cs="Times New Roman"/>
                <w:i w:val="0"/>
                <w:sz w:val="20"/>
                <w:szCs w:val="20"/>
                <w:lang w:val="en-US"/>
              </w:rPr>
              <w:t>The Dipterocarpaceae family plays an important role as a dominant component of lowland tropical rainforest ecosystems, particularly within the Sunda Shelf region</w:t>
            </w:r>
            <w:r w:rsidR="000738EB">
              <w:rPr>
                <w:rFonts w:ascii="Times New Roman" w:hAnsi="Times New Roman" w:cs="Times New Roman"/>
                <w:i w:val="0"/>
                <w:sz w:val="20"/>
                <w:szCs w:val="20"/>
                <w:lang w:val="en-US"/>
              </w:rPr>
              <w:t>,</w:t>
            </w:r>
            <w:r w:rsidRPr="00EE1CDC">
              <w:rPr>
                <w:rFonts w:ascii="Times New Roman" w:hAnsi="Times New Roman" w:cs="Times New Roman"/>
                <w:i w:val="0"/>
                <w:sz w:val="20"/>
                <w:szCs w:val="20"/>
                <w:lang w:val="en-US"/>
              </w:rPr>
              <w:t xml:space="preserve"> such as Batam Island, Indonesia. However, the</w:t>
            </w:r>
            <w:r w:rsidR="000738EB">
              <w:rPr>
                <w:rFonts w:ascii="Times New Roman" w:hAnsi="Times New Roman" w:cs="Times New Roman"/>
                <w:i w:val="0"/>
                <w:sz w:val="20"/>
                <w:szCs w:val="20"/>
                <w:lang w:val="en-US"/>
              </w:rPr>
              <w:t>se species are increasingly threatened by anthropogenic activities, including deforestation and land-use conversion, underscor</w:t>
            </w:r>
            <w:r w:rsidRPr="00EE1CDC">
              <w:rPr>
                <w:rFonts w:ascii="Times New Roman" w:hAnsi="Times New Roman" w:cs="Times New Roman"/>
                <w:i w:val="0"/>
                <w:sz w:val="20"/>
                <w:szCs w:val="20"/>
                <w:lang w:val="en-US"/>
              </w:rPr>
              <w:t xml:space="preserve">ing the need for conservation efforts supported by scientific data. This study aimed to identify species of the Dipterocarpaceae family, analyze the Important Value Index (IVI), </w:t>
            </w:r>
            <w:r w:rsidR="000738EB">
              <w:rPr>
                <w:rFonts w:ascii="Times New Roman" w:hAnsi="Times New Roman" w:cs="Times New Roman"/>
                <w:i w:val="0"/>
                <w:sz w:val="20"/>
                <w:szCs w:val="20"/>
                <w:lang w:val="en-US"/>
              </w:rPr>
              <w:t xml:space="preserve">and </w:t>
            </w:r>
            <w:r w:rsidRPr="00EE1CDC">
              <w:rPr>
                <w:rFonts w:ascii="Times New Roman" w:hAnsi="Times New Roman" w:cs="Times New Roman"/>
                <w:i w:val="0"/>
                <w:sz w:val="20"/>
                <w:szCs w:val="20"/>
                <w:lang w:val="en-US"/>
              </w:rPr>
              <w:t xml:space="preserve">determine species diversity and evenness. The research was conducted using an exploratory survey method with Systematic Sampling with Random Start across an area of 1.74 ha within the 87 ha Special Block Protected Forest. Primary data were collected from different growth stages, including seedlings, saplings, poles, and trees, along with measurements of temperature and humidity. Data were analyzed qualitatively and quantitatively using the IVI, Shannon–Wiener diversity index, and evenness index. The results recorded 20 species </w:t>
            </w:r>
            <w:r w:rsidR="000738EB">
              <w:rPr>
                <w:rFonts w:ascii="Times New Roman" w:hAnsi="Times New Roman" w:cs="Times New Roman"/>
                <w:i w:val="0"/>
                <w:sz w:val="20"/>
                <w:szCs w:val="20"/>
                <w:lang w:val="en-US"/>
              </w:rPr>
              <w:t>across 6 genera (Cotylelobium, Dipterocarpus, Dryobalanops, Hopea, Shorea, and Vatica) from 44 plots, totaling</w:t>
            </w:r>
            <w:r w:rsidRPr="00EE1CDC">
              <w:rPr>
                <w:rFonts w:ascii="Times New Roman" w:hAnsi="Times New Roman" w:cs="Times New Roman"/>
                <w:i w:val="0"/>
                <w:sz w:val="20"/>
                <w:szCs w:val="20"/>
                <w:lang w:val="en-US"/>
              </w:rPr>
              <w:t xml:space="preserve"> 590 individuals. The number of individuals consisted of 228 seedlings, 172 saplings, 77 poles, and 113 trees. The highest IVI values were observed in </w:t>
            </w:r>
            <w:r w:rsidRPr="00695C0E">
              <w:rPr>
                <w:rFonts w:ascii="Times New Roman" w:hAnsi="Times New Roman" w:cs="Times New Roman"/>
                <w:iCs/>
                <w:sz w:val="20"/>
                <w:szCs w:val="20"/>
                <w:lang w:val="en-US"/>
              </w:rPr>
              <w:t>Hopea beccariana</w:t>
            </w:r>
            <w:r w:rsidRPr="00EE1CDC">
              <w:rPr>
                <w:rFonts w:ascii="Times New Roman" w:hAnsi="Times New Roman" w:cs="Times New Roman"/>
                <w:i w:val="0"/>
                <w:sz w:val="20"/>
                <w:szCs w:val="20"/>
                <w:lang w:val="en-US"/>
              </w:rPr>
              <w:t xml:space="preserve"> Burck at the seedling (52.40%) and sapling (55.40%) stages, while </w:t>
            </w:r>
            <w:r w:rsidRPr="00695C0E">
              <w:rPr>
                <w:rFonts w:ascii="Times New Roman" w:hAnsi="Times New Roman" w:cs="Times New Roman"/>
                <w:iCs/>
                <w:sz w:val="20"/>
                <w:szCs w:val="20"/>
                <w:lang w:val="en-US"/>
              </w:rPr>
              <w:t>Shorea curtisii</w:t>
            </w:r>
            <w:r w:rsidRPr="00EE1CDC">
              <w:rPr>
                <w:rFonts w:ascii="Times New Roman" w:hAnsi="Times New Roman" w:cs="Times New Roman"/>
                <w:i w:val="0"/>
                <w:sz w:val="20"/>
                <w:szCs w:val="20"/>
                <w:lang w:val="en-US"/>
              </w:rPr>
              <w:t xml:space="preserve"> Dyer ex King ssp. </w:t>
            </w:r>
            <w:r w:rsidR="00AF3D5D" w:rsidRPr="00AF3D5D">
              <w:rPr>
                <w:rFonts w:ascii="Times New Roman" w:hAnsi="Times New Roman" w:cs="Times New Roman"/>
                <w:iCs/>
                <w:sz w:val="20"/>
                <w:szCs w:val="20"/>
                <w:lang w:val="en-US"/>
              </w:rPr>
              <w:t>S.</w:t>
            </w:r>
            <w:r w:rsidR="00AF3D5D">
              <w:rPr>
                <w:rFonts w:ascii="Times New Roman" w:hAnsi="Times New Roman" w:cs="Times New Roman"/>
                <w:i w:val="0"/>
                <w:sz w:val="20"/>
                <w:szCs w:val="20"/>
                <w:lang w:val="en-US"/>
              </w:rPr>
              <w:t xml:space="preserve"> </w:t>
            </w:r>
            <w:r w:rsidRPr="00695C0E">
              <w:rPr>
                <w:rFonts w:ascii="Times New Roman" w:hAnsi="Times New Roman" w:cs="Times New Roman"/>
                <w:iCs/>
                <w:sz w:val="20"/>
                <w:szCs w:val="20"/>
                <w:lang w:val="en-US"/>
              </w:rPr>
              <w:t>curtisii</w:t>
            </w:r>
            <w:r w:rsidRPr="00EE1CDC">
              <w:rPr>
                <w:rFonts w:ascii="Times New Roman" w:hAnsi="Times New Roman" w:cs="Times New Roman"/>
                <w:i w:val="0"/>
                <w:sz w:val="20"/>
                <w:szCs w:val="20"/>
                <w:lang w:val="en-US"/>
              </w:rPr>
              <w:t xml:space="preserve"> dominated the pole (103.68%) and tree (93.06%) stages. Shannon–Wiener diversity index values ranged from 1.81 to 2.05, indicating moderate diversity across all growth stages. Evenness index values ranged from 0.67 to 0.86, indicating high species evenness.</w:t>
            </w:r>
          </w:p>
          <w:p w14:paraId="6AF595D5" w14:textId="6EC8763F" w:rsidR="0032335D" w:rsidRPr="00696D09" w:rsidRDefault="0032335D" w:rsidP="00507C30">
            <w:pPr>
              <w:pStyle w:val="Isikeywords"/>
              <w:jc w:val="both"/>
              <w:rPr>
                <w:rFonts w:ascii="Times New Roman" w:hAnsi="Times New Roman" w:cs="Times New Roman"/>
                <w:i w:val="0"/>
                <w:sz w:val="20"/>
                <w:szCs w:val="20"/>
                <w:lang w:val="en-US"/>
              </w:rPr>
            </w:pPr>
            <w:r w:rsidRPr="00CC2E5E">
              <w:rPr>
                <w:rFonts w:ascii="Times New Roman" w:hAnsi="Times New Roman" w:cs="Times New Roman"/>
                <w:b/>
                <w:bCs/>
                <w:i w:val="0"/>
                <w:sz w:val="20"/>
                <w:szCs w:val="20"/>
              </w:rPr>
              <w:t>Keyword:</w:t>
            </w:r>
            <w:r w:rsidRPr="00CC2E5E">
              <w:rPr>
                <w:rFonts w:ascii="Times New Roman" w:hAnsi="Times New Roman" w:cs="Times New Roman"/>
                <w:i w:val="0"/>
                <w:sz w:val="20"/>
                <w:szCs w:val="20"/>
              </w:rPr>
              <w:t xml:space="preserve"> </w:t>
            </w:r>
            <w:r w:rsidR="00192585" w:rsidRPr="00192585">
              <w:rPr>
                <w:rFonts w:ascii="Times New Roman" w:hAnsi="Times New Roman" w:cs="Times New Roman"/>
                <w:bCs/>
                <w:i w:val="0"/>
                <w:sz w:val="20"/>
                <w:szCs w:val="20"/>
                <w:lang w:val="en-US"/>
              </w:rPr>
              <w:t>Batam Island, Conservation Ecology, Dipterocarpaceae, Important Value Index (IVI),</w:t>
            </w:r>
            <w:r w:rsidR="00AF3D5D">
              <w:rPr>
                <w:rFonts w:ascii="Times New Roman" w:hAnsi="Times New Roman" w:cs="Times New Roman"/>
                <w:bCs/>
                <w:i w:val="0"/>
                <w:sz w:val="20"/>
                <w:szCs w:val="20"/>
                <w:lang w:val="en-US"/>
              </w:rPr>
              <w:t xml:space="preserve"> </w:t>
            </w:r>
            <w:r w:rsidR="00192585" w:rsidRPr="00192585">
              <w:rPr>
                <w:rFonts w:ascii="Times New Roman" w:hAnsi="Times New Roman" w:cs="Times New Roman"/>
                <w:bCs/>
                <w:i w:val="0"/>
                <w:sz w:val="20"/>
                <w:szCs w:val="20"/>
                <w:lang w:val="en-US"/>
              </w:rPr>
              <w:t>Species Diversity</w:t>
            </w:r>
          </w:p>
        </w:tc>
      </w:tr>
      <w:tr w:rsidR="0032335D" w:rsidRPr="00442442" w14:paraId="66CA0E0F" w14:textId="77777777" w:rsidTr="00507C30">
        <w:trPr>
          <w:trHeight w:val="447"/>
        </w:trPr>
        <w:tc>
          <w:tcPr>
            <w:tcW w:w="1401" w:type="pct"/>
            <w:tcBorders>
              <w:top w:val="single" w:sz="4" w:space="0" w:color="auto"/>
              <w:bottom w:val="single" w:sz="4" w:space="0" w:color="auto"/>
            </w:tcBorders>
          </w:tcPr>
          <w:p w14:paraId="14F0DE17" w14:textId="77777777" w:rsidR="0032335D" w:rsidRDefault="0032335D" w:rsidP="00507C30">
            <w:pPr>
              <w:pStyle w:val="Isisitasi"/>
              <w:jc w:val="both"/>
              <w:rPr>
                <w:rFonts w:ascii="Times New Roman" w:hAnsi="Times New Roman" w:cs="Times New Roman"/>
                <w:b/>
                <w:bCs/>
                <w:sz w:val="18"/>
                <w:szCs w:val="18"/>
              </w:rPr>
            </w:pPr>
            <w:r w:rsidRPr="001E53B0">
              <w:rPr>
                <w:rFonts w:ascii="Times New Roman" w:hAnsi="Times New Roman" w:cs="Times New Roman"/>
                <w:b/>
                <w:bCs/>
                <w:sz w:val="18"/>
                <w:szCs w:val="18"/>
                <w:lang w:val="en-US"/>
              </w:rPr>
              <w:t>How to cite</w:t>
            </w:r>
            <w:r w:rsidRPr="00A479CC">
              <w:rPr>
                <w:rFonts w:ascii="Times New Roman" w:hAnsi="Times New Roman" w:cs="Times New Roman"/>
                <w:b/>
                <w:bCs/>
                <w:sz w:val="18"/>
                <w:szCs w:val="18"/>
              </w:rPr>
              <w:t xml:space="preserve">: </w:t>
            </w:r>
          </w:p>
          <w:p w14:paraId="7784D771" w14:textId="36C6083A" w:rsidR="0032335D" w:rsidRPr="00101405" w:rsidRDefault="00EE1CDC" w:rsidP="00507C30">
            <w:pPr>
              <w:pStyle w:val="Isisitasi"/>
              <w:jc w:val="both"/>
              <w:rPr>
                <w:rFonts w:ascii="Times New Roman" w:hAnsi="Times New Roman" w:cs="Times New Roman"/>
                <w:sz w:val="18"/>
                <w:szCs w:val="18"/>
              </w:rPr>
            </w:pPr>
            <w:r w:rsidRPr="00EE1CDC">
              <w:rPr>
                <w:rFonts w:ascii="Times New Roman" w:hAnsi="Times New Roman" w:cs="Times New Roman"/>
                <w:sz w:val="18"/>
                <w:szCs w:val="18"/>
              </w:rPr>
              <w:t>M</w:t>
            </w:r>
            <w:r>
              <w:rPr>
                <w:rFonts w:ascii="Times New Roman" w:hAnsi="Times New Roman" w:cs="Times New Roman"/>
                <w:sz w:val="18"/>
                <w:szCs w:val="18"/>
              </w:rPr>
              <w:t>.</w:t>
            </w:r>
            <w:r w:rsidRPr="00EE1CDC">
              <w:rPr>
                <w:rFonts w:ascii="Times New Roman" w:hAnsi="Times New Roman" w:cs="Times New Roman"/>
                <w:sz w:val="18"/>
                <w:szCs w:val="18"/>
              </w:rPr>
              <w:t xml:space="preserve"> Hisyam, E</w:t>
            </w:r>
            <w:r>
              <w:rPr>
                <w:rFonts w:ascii="Times New Roman" w:hAnsi="Times New Roman" w:cs="Times New Roman"/>
                <w:sz w:val="18"/>
                <w:szCs w:val="18"/>
              </w:rPr>
              <w:t>.</w:t>
            </w:r>
            <w:r w:rsidRPr="00EE1CDC">
              <w:rPr>
                <w:rFonts w:ascii="Times New Roman" w:hAnsi="Times New Roman" w:cs="Times New Roman"/>
                <w:sz w:val="18"/>
                <w:szCs w:val="18"/>
              </w:rPr>
              <w:t xml:space="preserve"> Insusanty, Azwin, S</w:t>
            </w:r>
            <w:r>
              <w:rPr>
                <w:rFonts w:ascii="Times New Roman" w:hAnsi="Times New Roman" w:cs="Times New Roman"/>
                <w:sz w:val="18"/>
                <w:szCs w:val="18"/>
              </w:rPr>
              <w:t>.</w:t>
            </w:r>
            <w:r w:rsidRPr="00EE1CDC">
              <w:rPr>
                <w:rFonts w:ascii="Times New Roman" w:hAnsi="Times New Roman" w:cs="Times New Roman"/>
                <w:sz w:val="18"/>
                <w:szCs w:val="18"/>
              </w:rPr>
              <w:t xml:space="preserve"> R</w:t>
            </w:r>
            <w:r>
              <w:rPr>
                <w:rFonts w:ascii="Times New Roman" w:hAnsi="Times New Roman" w:cs="Times New Roman"/>
                <w:sz w:val="18"/>
                <w:szCs w:val="18"/>
              </w:rPr>
              <w:t>.</w:t>
            </w:r>
            <w:r w:rsidRPr="00EE1CDC">
              <w:rPr>
                <w:rFonts w:ascii="Times New Roman" w:hAnsi="Times New Roman" w:cs="Times New Roman"/>
                <w:sz w:val="18"/>
                <w:szCs w:val="18"/>
              </w:rPr>
              <w:t xml:space="preserve"> Prastyaningsih</w:t>
            </w:r>
            <w:r w:rsidR="0032335D" w:rsidRPr="00B61FEF">
              <w:rPr>
                <w:rFonts w:ascii="Times New Roman" w:hAnsi="Times New Roman" w:cs="Times New Roman"/>
                <w:sz w:val="18"/>
                <w:szCs w:val="18"/>
              </w:rPr>
              <w:t>, “</w:t>
            </w:r>
            <w:r w:rsidRPr="00EE1CDC">
              <w:rPr>
                <w:rFonts w:ascii="Times New Roman" w:hAnsi="Times New Roman" w:cs="Times New Roman"/>
                <w:sz w:val="18"/>
                <w:szCs w:val="18"/>
              </w:rPr>
              <w:t>Floristic diversity of dipterocarpaceae in the Sungai Harapan Protected Forest, Batam Island, Indonesia</w:t>
            </w:r>
            <w:r w:rsidR="0032335D" w:rsidRPr="00B61FEF">
              <w:rPr>
                <w:rFonts w:ascii="Times New Roman" w:hAnsi="Times New Roman" w:cs="Times New Roman"/>
                <w:sz w:val="18"/>
                <w:szCs w:val="18"/>
              </w:rPr>
              <w:t>,</w:t>
            </w:r>
            <w:r w:rsidR="0032335D">
              <w:rPr>
                <w:rFonts w:ascii="Times New Roman" w:hAnsi="Times New Roman" w:cs="Times New Roman"/>
                <w:sz w:val="18"/>
                <w:szCs w:val="18"/>
              </w:rPr>
              <w:t xml:space="preserve">” </w:t>
            </w:r>
            <w:r w:rsidR="0032335D" w:rsidRPr="000409C6">
              <w:rPr>
                <w:rFonts w:ascii="Times New Roman" w:hAnsi="Times New Roman" w:cs="Times New Roman"/>
                <w:i/>
                <w:sz w:val="18"/>
                <w:szCs w:val="18"/>
                <w:lang w:val="en-US"/>
              </w:rPr>
              <w:t>Global Forest Journal</w:t>
            </w:r>
            <w:r w:rsidR="0032335D" w:rsidRPr="000409C6">
              <w:rPr>
                <w:rFonts w:ascii="Times New Roman" w:hAnsi="Times New Roman" w:cs="Times New Roman"/>
                <w:sz w:val="18"/>
                <w:szCs w:val="18"/>
                <w:lang w:val="en-US"/>
              </w:rPr>
              <w:t>, vo</w:t>
            </w:r>
            <w:r w:rsidR="0032335D">
              <w:rPr>
                <w:rFonts w:ascii="Times New Roman" w:hAnsi="Times New Roman" w:cs="Times New Roman"/>
                <w:sz w:val="18"/>
                <w:szCs w:val="18"/>
                <w:lang w:val="en-US"/>
              </w:rPr>
              <w:t xml:space="preserve">l. </w:t>
            </w:r>
            <w:r w:rsidR="007E36C4">
              <w:rPr>
                <w:rFonts w:ascii="Times New Roman" w:hAnsi="Times New Roman" w:cs="Times New Roman"/>
                <w:sz w:val="18"/>
                <w:szCs w:val="18"/>
                <w:lang w:val="en-US"/>
              </w:rPr>
              <w:t>04</w:t>
            </w:r>
            <w:r w:rsidR="0032335D">
              <w:rPr>
                <w:rFonts w:ascii="Times New Roman" w:hAnsi="Times New Roman" w:cs="Times New Roman"/>
                <w:sz w:val="18"/>
                <w:szCs w:val="18"/>
                <w:lang w:val="en-US"/>
              </w:rPr>
              <w:t xml:space="preserve">, no. </w:t>
            </w:r>
            <w:r w:rsidR="007E36C4">
              <w:rPr>
                <w:rFonts w:ascii="Times New Roman" w:hAnsi="Times New Roman" w:cs="Times New Roman"/>
                <w:sz w:val="18"/>
                <w:szCs w:val="18"/>
                <w:lang w:val="en-US"/>
              </w:rPr>
              <w:t>02</w:t>
            </w:r>
            <w:r w:rsidR="0032335D">
              <w:rPr>
                <w:rFonts w:ascii="Times New Roman" w:hAnsi="Times New Roman" w:cs="Times New Roman"/>
                <w:sz w:val="18"/>
                <w:szCs w:val="18"/>
                <w:lang w:val="en-US"/>
              </w:rPr>
              <w:t xml:space="preserve">, </w:t>
            </w:r>
            <w:r w:rsidR="007E36C4">
              <w:rPr>
                <w:rFonts w:ascii="Times New Roman" w:hAnsi="Times New Roman" w:cs="Times New Roman"/>
                <w:sz w:val="18"/>
                <w:szCs w:val="18"/>
                <w:lang w:val="en-US"/>
              </w:rPr>
              <w:t>July</w:t>
            </w:r>
            <w:r w:rsidR="0032335D">
              <w:rPr>
                <w:rFonts w:ascii="Times New Roman" w:hAnsi="Times New Roman" w:cs="Times New Roman"/>
                <w:sz w:val="18"/>
                <w:szCs w:val="18"/>
                <w:lang w:val="en-US"/>
              </w:rPr>
              <w:t xml:space="preserve"> 2026</w:t>
            </w:r>
            <w:r w:rsidR="0032335D" w:rsidRPr="000409C6">
              <w:rPr>
                <w:rFonts w:ascii="Times New Roman" w:hAnsi="Times New Roman" w:cs="Times New Roman"/>
                <w:sz w:val="18"/>
                <w:szCs w:val="18"/>
                <w:lang w:val="en-US"/>
              </w:rPr>
              <w:t>.</w:t>
            </w:r>
          </w:p>
        </w:tc>
        <w:tc>
          <w:tcPr>
            <w:tcW w:w="115" w:type="pct"/>
            <w:vMerge/>
          </w:tcPr>
          <w:p w14:paraId="3E4A0801" w14:textId="77777777" w:rsidR="0032335D" w:rsidRPr="007C4680" w:rsidRDefault="0032335D" w:rsidP="00507C30">
            <w:pPr>
              <w:pStyle w:val="Isiabstract"/>
              <w:rPr>
                <w:rFonts w:ascii="Times New Roman" w:hAnsi="Times New Roman" w:cs="Times New Roman"/>
                <w:i w:val="0"/>
                <w:sz w:val="15"/>
                <w:lang w:val="id-ID"/>
              </w:rPr>
            </w:pPr>
          </w:p>
        </w:tc>
        <w:tc>
          <w:tcPr>
            <w:tcW w:w="3484" w:type="pct"/>
            <w:vMerge/>
            <w:tcBorders>
              <w:bottom w:val="single" w:sz="4" w:space="0" w:color="auto"/>
            </w:tcBorders>
          </w:tcPr>
          <w:p w14:paraId="3921F53E" w14:textId="77777777" w:rsidR="0032335D" w:rsidRPr="007C4680" w:rsidRDefault="0032335D" w:rsidP="00507C30">
            <w:pPr>
              <w:pStyle w:val="Isiabstract"/>
              <w:rPr>
                <w:rFonts w:ascii="Times New Roman" w:hAnsi="Times New Roman" w:cs="Times New Roman"/>
                <w:i w:val="0"/>
                <w:sz w:val="20"/>
                <w:szCs w:val="20"/>
                <w:lang w:val="id-ID"/>
              </w:rPr>
            </w:pPr>
          </w:p>
        </w:tc>
      </w:tr>
      <w:tr w:rsidR="0032335D" w:rsidRPr="00A479CC" w14:paraId="477AF303" w14:textId="77777777" w:rsidTr="00507C30">
        <w:trPr>
          <w:trHeight w:val="1496"/>
        </w:trPr>
        <w:tc>
          <w:tcPr>
            <w:tcW w:w="1401" w:type="pct"/>
            <w:tcBorders>
              <w:top w:val="single" w:sz="4" w:space="0" w:color="auto"/>
              <w:bottom w:val="single" w:sz="4" w:space="0" w:color="auto"/>
            </w:tcBorders>
            <w:vAlign w:val="center"/>
          </w:tcPr>
          <w:p w14:paraId="708A3AAD" w14:textId="77777777" w:rsidR="0032335D" w:rsidRPr="007C4680" w:rsidRDefault="0032335D" w:rsidP="00507C30">
            <w:pPr>
              <w:pStyle w:val="Hakcipta"/>
              <w:jc w:val="left"/>
              <w:rPr>
                <w:rFonts w:ascii="Times New Roman" w:hAnsi="Times New Roman" w:cs="Times New Roman"/>
                <w:lang w:val="id-ID"/>
              </w:rPr>
            </w:pPr>
            <w:r w:rsidRPr="007C4680">
              <w:rPr>
                <w:rFonts w:ascii="Times New Roman" w:hAnsi="Times New Roman" w:cs="Times New Roman"/>
                <w:sz w:val="18"/>
                <w:szCs w:val="18"/>
                <w:lang w:val="id-ID"/>
              </w:rPr>
              <w:t xml:space="preserve"> </w:t>
            </w:r>
          </w:p>
          <w:p w14:paraId="01F9E7E7" w14:textId="77777777" w:rsidR="0032335D" w:rsidRPr="00A479CC" w:rsidRDefault="0032335D" w:rsidP="00507C30">
            <w:pPr>
              <w:pStyle w:val="Hakcipta"/>
              <w:jc w:val="left"/>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rPr>
              <w:drawing>
                <wp:inline distT="0" distB="0" distL="0" distR="0" wp14:anchorId="12D938B6" wp14:editId="32615783">
                  <wp:extent cx="720000" cy="253674"/>
                  <wp:effectExtent l="0" t="0" r="4445" b="635"/>
                  <wp:docPr id="1" name="Picture 1" descr="A picture containing text, clipart&#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6B422F81" w14:textId="77777777" w:rsidR="0032335D" w:rsidRPr="00A479CC" w:rsidRDefault="0032335D" w:rsidP="00507C30">
            <w:pPr>
              <w:pStyle w:val="Hakcipta"/>
              <w:jc w:val="left"/>
              <w:rPr>
                <w:rFonts w:ascii="Times New Roman" w:hAnsi="Times New Roman" w:cs="Times New Roman"/>
                <w:b/>
                <w:bCs/>
                <w:sz w:val="13"/>
                <w:szCs w:val="13"/>
              </w:rPr>
            </w:pPr>
            <w:hyperlink r:id="rId13" w:history="1">
              <w:r w:rsidRPr="00A479CC">
                <w:rPr>
                  <w:rStyle w:val="Hyperlink"/>
                  <w:rFonts w:ascii="Times New Roman" w:hAnsi="Times New Roman" w:cs="Times New Roman"/>
                  <w:b/>
                  <w:bCs/>
                  <w:color w:val="auto"/>
                  <w:sz w:val="13"/>
                  <w:szCs w:val="13"/>
                </w:rPr>
                <w:t xml:space="preserve">This work is licensed under a Creative Commons Attribution-ShareAlike 4.0 International. </w:t>
              </w:r>
            </w:hyperlink>
            <w:r w:rsidRPr="00A479CC">
              <w:rPr>
                <w:rFonts w:ascii="Times New Roman" w:hAnsi="Times New Roman" w:cs="Times New Roman"/>
                <w:b/>
                <w:bCs/>
                <w:sz w:val="13"/>
                <w:szCs w:val="13"/>
              </w:rPr>
              <w:t xml:space="preserve"> </w:t>
            </w:r>
          </w:p>
          <w:p w14:paraId="6525569C" w14:textId="0A72C322" w:rsidR="0032335D" w:rsidRPr="004154E5" w:rsidRDefault="0032335D" w:rsidP="00507C30">
            <w:pPr>
              <w:pStyle w:val="Hakcipta"/>
              <w:jc w:val="left"/>
              <w:rPr>
                <w:rFonts w:ascii="Times New Roman" w:hAnsi="Times New Roman" w:cs="Times New Roman"/>
                <w:b/>
                <w:bCs/>
                <w:color w:val="0076F3"/>
                <w:sz w:val="13"/>
                <w:szCs w:val="13"/>
              </w:rPr>
            </w:pPr>
            <w:r w:rsidRPr="00A479CC">
              <w:rPr>
                <w:rFonts w:ascii="Times New Roman" w:hAnsi="Times New Roman" w:cs="Times New Roman"/>
                <w:b/>
                <w:bCs/>
                <w:color w:val="0076F3"/>
                <w:sz w:val="13"/>
                <w:szCs w:val="13"/>
              </w:rPr>
              <w:t>http://doi.org/</w:t>
            </w:r>
            <w:r w:rsidR="00B64F31">
              <w:t xml:space="preserve"> </w:t>
            </w:r>
            <w:r w:rsidR="00B64F31" w:rsidRPr="00B64F31">
              <w:rPr>
                <w:rFonts w:ascii="Times New Roman" w:hAnsi="Times New Roman" w:cs="Times New Roman"/>
                <w:b/>
                <w:bCs/>
                <w:color w:val="0076F3"/>
                <w:sz w:val="13"/>
                <w:szCs w:val="13"/>
              </w:rPr>
              <w:t>10.32734/gfj.v4i2.25710</w:t>
            </w:r>
          </w:p>
        </w:tc>
        <w:tc>
          <w:tcPr>
            <w:tcW w:w="115" w:type="pct"/>
            <w:vMerge/>
            <w:tcBorders>
              <w:bottom w:val="single" w:sz="4" w:space="0" w:color="auto"/>
            </w:tcBorders>
          </w:tcPr>
          <w:p w14:paraId="64787B0E" w14:textId="77777777" w:rsidR="0032335D" w:rsidRPr="006C0DC0" w:rsidRDefault="0032335D" w:rsidP="00507C30">
            <w:pPr>
              <w:pStyle w:val="Isiabstract"/>
              <w:spacing w:after="240"/>
              <w:rPr>
                <w:rFonts w:ascii="Times New Roman" w:hAnsi="Times New Roman" w:cs="Times New Roman"/>
                <w:i w:val="0"/>
                <w:sz w:val="15"/>
                <w:lang w:val="en-ID"/>
              </w:rPr>
            </w:pPr>
          </w:p>
        </w:tc>
        <w:tc>
          <w:tcPr>
            <w:tcW w:w="3484" w:type="pct"/>
            <w:vMerge/>
            <w:tcBorders>
              <w:bottom w:val="single" w:sz="4" w:space="0" w:color="auto"/>
            </w:tcBorders>
            <w:vAlign w:val="center"/>
          </w:tcPr>
          <w:p w14:paraId="7D15C6DC" w14:textId="77777777" w:rsidR="0032335D" w:rsidRPr="006C0DC0" w:rsidRDefault="0032335D" w:rsidP="00507C30">
            <w:pPr>
              <w:pStyle w:val="Isiabstract"/>
              <w:spacing w:after="240"/>
              <w:rPr>
                <w:rFonts w:ascii="Times New Roman" w:hAnsi="Times New Roman" w:cs="Times New Roman"/>
                <w:i w:val="0"/>
                <w:sz w:val="15"/>
                <w:lang w:val="en-ID"/>
              </w:rPr>
            </w:pPr>
          </w:p>
        </w:tc>
      </w:tr>
    </w:tbl>
    <w:p w14:paraId="46D1506C" w14:textId="5EF82DBE" w:rsidR="00A479CC" w:rsidRPr="00A479CC" w:rsidRDefault="00A479CC" w:rsidP="004154E5">
      <w:pPr>
        <w:jc w:val="both"/>
        <w:rPr>
          <w:rFonts w:cs="Times New Roman"/>
        </w:rPr>
      </w:pPr>
    </w:p>
    <w:p w14:paraId="7D7E94C2" w14:textId="0E4F66F7" w:rsidR="00A479CC" w:rsidRPr="00C90BBD" w:rsidRDefault="00A479CC" w:rsidP="00C90BBD">
      <w:pPr>
        <w:pStyle w:val="Els-1storder-head"/>
        <w:spacing w:before="0" w:after="0"/>
        <w:rPr>
          <w:szCs w:val="22"/>
        </w:rPr>
      </w:pPr>
      <w:r w:rsidRPr="00C90BBD">
        <w:rPr>
          <w:szCs w:val="22"/>
        </w:rPr>
        <w:t>Introduction</w:t>
      </w:r>
    </w:p>
    <w:p w14:paraId="0129E5FC" w14:textId="3F6B8566" w:rsidR="00192585" w:rsidRDefault="00192585" w:rsidP="00192585">
      <w:pPr>
        <w:spacing w:after="240"/>
        <w:jc w:val="both"/>
      </w:pPr>
      <w:r>
        <w:t>Floristic composition is a fundamental component of vegetation ecology, describing the identity, composition, and distribution of plant species within a community. Floristic studies provide essential information on species diversity, community structure, and ecological relationships, thereby serving as a scientific basis for biodiversity conservation, forest management, and ecosystem restoration. In tropical forests, floristic inventories are particularly important for identifying species composition and evaluating the conservation status of ecologically significant plant groups, such as the Dipterocarpaceae, which dominate many Southeast Asian lowland rainforests [1</w:t>
      </w:r>
      <w:r w:rsidR="00CB281E">
        <w:t>,</w:t>
      </w:r>
      <w:r>
        <w:t>2].</w:t>
      </w:r>
    </w:p>
    <w:p w14:paraId="3F68A5A0" w14:textId="115213E5" w:rsidR="00192585" w:rsidRDefault="00192585" w:rsidP="00192585">
      <w:pPr>
        <w:spacing w:after="240"/>
        <w:jc w:val="both"/>
      </w:pPr>
      <w:r>
        <w:t>Lowland tropical rainforest ecosystems support high levels of biodiversity and provide ecosystem services that are fundamental to ecological stability, carbon storage, biodiversity conservation, and the regulation of regional climate and hydrological processes. Sumatra and Kalimantan serve as centers of Dipterocarpaceae diversity, characterized by forest compositions dominated by Dipterocarpaceae in the upper canopy; these natural forests also exhibit high productivity [3</w:t>
      </w:r>
      <w:r w:rsidR="00CB281E">
        <w:t>,</w:t>
      </w:r>
      <w:r>
        <w:t>4].</w:t>
      </w:r>
    </w:p>
    <w:p w14:paraId="2CA6C3FE" w14:textId="77777777" w:rsidR="00192585" w:rsidRDefault="00192585" w:rsidP="00192585">
      <w:pPr>
        <w:spacing w:after="240"/>
        <w:jc w:val="both"/>
      </w:pPr>
    </w:p>
    <w:p w14:paraId="14B9B68D" w14:textId="77777777" w:rsidR="00192585" w:rsidRDefault="00192585" w:rsidP="00192585">
      <w:pPr>
        <w:spacing w:after="240"/>
        <w:jc w:val="both"/>
      </w:pPr>
    </w:p>
    <w:p w14:paraId="339CF971" w14:textId="1AE97731" w:rsidR="00192585" w:rsidRDefault="00192585" w:rsidP="00192585">
      <w:pPr>
        <w:spacing w:after="240"/>
        <w:jc w:val="both"/>
      </w:pPr>
      <w:r>
        <w:lastRenderedPageBreak/>
        <w:t>Indonesia is home to approximately 230 species of Dipterocarpaceae, with around 112 species and 8 genera found in Sumatra [6]. As a global center of Dipterocarpaceae diversity, the Sunda Shelf region (comprising Sumatra, Kalimantan, the Malay Peninsula, and surrounding islands) hosts 13 of the 22 known Dipterocarpaceae genera. About 30 species across six genera are found in the Riau Islands, while approximately 10 species from four genera occur on Batam Island. Although species richness on Batam Island is lower than in Sumatra, the Sungai Harapan Protection Forest serves as a natural habitat for Dipterocarpaceae species [5].</w:t>
      </w:r>
    </w:p>
    <w:p w14:paraId="281A4310" w14:textId="585E3B07" w:rsidR="00192585" w:rsidRDefault="00192585" w:rsidP="00192585">
      <w:pPr>
        <w:spacing w:after="240"/>
        <w:jc w:val="both"/>
      </w:pPr>
      <w:r>
        <w:t xml:space="preserve">Dipterocarps contribute significantly to above-ground biomass, carbon storage, and hydrological regulation, while also helping to prevent landslides. Their broad canopies and irregular mass fruiting events make these forests vital natural habitats and food sources for a wide range of animals, including mammals, birds, and insects. Dipterocarp conservation is considered an "umbrella" strategy for tropical forest conservation [7]. Due to their high commercial value, dipterocarp timber plays a role in balancing ecological needs with </w:t>
      </w:r>
      <w:r w:rsidR="000738EB">
        <w:t>local communities' economic interest</w:t>
      </w:r>
      <w:r>
        <w:t>s [8].</w:t>
      </w:r>
      <w:r w:rsidR="008B6155">
        <w:t xml:space="preserve"> </w:t>
      </w:r>
      <w:r>
        <w:t>Taxonomic perspectives underscore the importance of dipterocarp conservation in maintaining the ecological benefits of tropical forests [9].</w:t>
      </w:r>
    </w:p>
    <w:p w14:paraId="128B7C94" w14:textId="7938F25D" w:rsidR="00192585" w:rsidRDefault="00192585" w:rsidP="00192585">
      <w:pPr>
        <w:spacing w:after="240"/>
        <w:jc w:val="both"/>
      </w:pPr>
      <w:r>
        <w:t>Dipterocarp forests in Indonesia are undergoing degradation and deforestation driven by forest conversion, infrastructure development, illegal logging, and fragmentation, all of which alter tropical forest structure [10</w:t>
      </w:r>
      <w:r w:rsidR="008B6155">
        <w:t>,</w:t>
      </w:r>
      <w:r>
        <w:t xml:space="preserve">11]. This situation is also evident on Batam Island, where industrial development and urban expansion have led to forest fragmentation and habitat loss. These factors have </w:t>
      </w:r>
      <w:r w:rsidR="000738EB">
        <w:t>led to a decline in dipterocarp populations and hindered natural regeneration, underscor</w:t>
      </w:r>
      <w:r>
        <w:t>ing the need for long-term conservation efforts and sustainable forest management [12].</w:t>
      </w:r>
    </w:p>
    <w:p w14:paraId="0C370359" w14:textId="3B3119CA" w:rsidR="00192585" w:rsidRDefault="00192585" w:rsidP="00192585">
      <w:pPr>
        <w:spacing w:after="240"/>
        <w:jc w:val="both"/>
      </w:pPr>
      <w:r>
        <w:t>In Riau Islands Province, the Sungai Harapan Protection Forest is one of the natural habitats</w:t>
      </w:r>
      <w:r w:rsidR="008B6155">
        <w:t xml:space="preserve"> </w:t>
      </w:r>
      <w:r>
        <w:t xml:space="preserve">supporting </w:t>
      </w:r>
      <w:r w:rsidR="000738EB">
        <w:t>native species on</w:t>
      </w:r>
      <w:r>
        <w:t xml:space="preserve"> Batam Island [13]. The Sungai Harapan Protection Forest also remain</w:t>
      </w:r>
      <w:r w:rsidR="000738EB">
        <w:t>s</w:t>
      </w:r>
      <w:r>
        <w:t xml:space="preserve"> one of the few natural habitats for Dipterocarpaceae species on Batam Island. To support in-situ conservation, part of this protected forest was designated as a Special Block Arboretum covering approximately 87 ha [14]. According to [15]</w:t>
      </w:r>
      <w:r w:rsidR="000738EB">
        <w:t>, the main functions of Protected Forests</w:t>
      </w:r>
      <w:r w:rsidR="008B6155">
        <w:t xml:space="preserve"> </w:t>
      </w:r>
      <w:r>
        <w:t>include regulating hydrological systems, preventing soil erosion, maintaining soil fertility, and supporting long-term environmental sustainability.</w:t>
      </w:r>
      <w:r w:rsidR="00AF3D5D">
        <w:t xml:space="preserve"> </w:t>
      </w:r>
      <w:r>
        <w:t xml:space="preserve">Protected forests are legally designated to maintain ecosystem integrity through hydrological regulation, soil conservation, erosion control, and biodiversity protection [14]. Consequently, the conservation value of the Sungai Harapan Protected Forest has become </w:t>
      </w:r>
      <w:r w:rsidR="008B6155">
        <w:t>i</w:t>
      </w:r>
      <w:r>
        <w:t>ncreasingly important for preserving the remaining dipterocarp populations on Batam Island.</w:t>
      </w:r>
    </w:p>
    <w:p w14:paraId="35882F0C" w14:textId="1C4DA577" w:rsidR="00192585" w:rsidRDefault="00192585" w:rsidP="00192585">
      <w:pPr>
        <w:spacing w:after="240"/>
        <w:jc w:val="both"/>
      </w:pPr>
      <w:r>
        <w:t>Previous studies conducted in the Riau Islands have mainly focused on vegetation inventories and floristic composition [5</w:t>
      </w:r>
      <w:r w:rsidR="008B6155">
        <w:t>,</w:t>
      </w:r>
      <w:r>
        <w:t>6]. More recently, studies in the remnant dipterocarp forests of Batam have described stand composition and forest structure [16].</w:t>
      </w:r>
      <w:r w:rsidR="008B6155">
        <w:t xml:space="preserve"> </w:t>
      </w:r>
      <w:r>
        <w:t>However, information concerning the diversity and ecological characteristics of Dipterocarpaceae communities within the Special Block Arboretum of the Sungai Harapan Protected Forest remains limited. This lack of scientific information constrains evidence-based conservation planning and sustainable forest management for one of the few remaining dipterocarp habitats in the Riau Islands.</w:t>
      </w:r>
    </w:p>
    <w:p w14:paraId="683A5CB0" w14:textId="44819E4D" w:rsidR="00BE4E07" w:rsidRPr="00BE4E07" w:rsidRDefault="00192585" w:rsidP="00192585">
      <w:pPr>
        <w:spacing w:after="240"/>
        <w:jc w:val="both"/>
      </w:pPr>
      <w:r>
        <w:t>To address this knowledge gap, the present study investigates the diversity and ecological characteristics of Dipterocarpaceae species in the Special Block Arboretum of the Sungai Harapan Protected Forest, Batam Island. Specifically, this study aims to identify species composition, evaluate species diversity, and characterize the ecological condition of dipterocarp communities. The findings are expected to provide baseline information for long-term biodiversity monitoring, strengthen conservation planning, and support sustainable management of protected forests in the Riau Islands, thereby contributing to the long-term conservation of Indonesia's remaining dipterocarp forests.</w:t>
      </w:r>
    </w:p>
    <w:p w14:paraId="2202B2BE" w14:textId="6AFB5DBD" w:rsidR="00BE4E07" w:rsidRPr="00BE4E07" w:rsidRDefault="00BE4E07" w:rsidP="00BE4E07">
      <w:pPr>
        <w:pStyle w:val="Els-1storder-head"/>
        <w:spacing w:after="0"/>
      </w:pPr>
      <w:r w:rsidRPr="00BE4E07">
        <w:t>Methods</w:t>
      </w:r>
    </w:p>
    <w:p w14:paraId="274C0FD1" w14:textId="38EA9031" w:rsidR="0088057B" w:rsidRDefault="00C61561" w:rsidP="0088057B">
      <w:pPr>
        <w:pStyle w:val="Els-2ndorder-head"/>
        <w:spacing w:after="0"/>
      </w:pPr>
      <w:r w:rsidRPr="00C61561">
        <w:t xml:space="preserve">Study </w:t>
      </w:r>
      <w:r w:rsidR="000738EB">
        <w:t>A</w:t>
      </w:r>
      <w:r w:rsidRPr="00C61561">
        <w:t>rea</w:t>
      </w:r>
      <w:r w:rsidR="008B6FA5">
        <w:t xml:space="preserve"> </w:t>
      </w:r>
      <w:r w:rsidR="008B6FA5" w:rsidRPr="008B6FA5">
        <w:t>and Research Period</w:t>
      </w:r>
    </w:p>
    <w:p w14:paraId="17CD466F" w14:textId="19AA7401" w:rsidR="00C61561" w:rsidRDefault="008B6FA5" w:rsidP="0088057B">
      <w:pPr>
        <w:pStyle w:val="Els-body-text"/>
        <w:spacing w:after="240"/>
      </w:pPr>
      <w:r w:rsidRPr="008B6FA5">
        <w:t>The study was conducted in the Sungai Harapan Protected Forest Special Blocks Arboretum, Sekupang District, Batam City, Riau Islands Province, Indonesia. The research site was located at coordinates 103°58'3.096" E and 1°5'16.233" N, covering approximately 87 hectares. The study is being conducted from December 2025 to March 2026</w:t>
      </w:r>
      <w:r>
        <w:t>.</w:t>
      </w:r>
    </w:p>
    <w:tbl>
      <w:tblPr>
        <w:tblStyle w:val="TableGrid"/>
        <w:tblW w:w="0" w:type="auto"/>
        <w:jc w:val="center"/>
        <w:tblLook w:val="04A0" w:firstRow="1" w:lastRow="0" w:firstColumn="1" w:lastColumn="0" w:noHBand="0" w:noVBand="1"/>
      </w:tblPr>
      <w:tblGrid>
        <w:gridCol w:w="3966"/>
        <w:gridCol w:w="3786"/>
      </w:tblGrid>
      <w:tr w:rsidR="008B6FA5" w14:paraId="28C2B030" w14:textId="77777777" w:rsidTr="00097931">
        <w:trPr>
          <w:trHeight w:val="1773"/>
          <w:jc w:val="center"/>
        </w:trPr>
        <w:tc>
          <w:tcPr>
            <w:tcW w:w="3878" w:type="dxa"/>
          </w:tcPr>
          <w:p w14:paraId="07F5184D" w14:textId="77777777" w:rsidR="008B6FA5" w:rsidRDefault="008B6FA5" w:rsidP="00097931">
            <w:pPr>
              <w:jc w:val="center"/>
            </w:pPr>
            <w:r>
              <w:rPr>
                <w:noProof/>
              </w:rPr>
              <w:lastRenderedPageBreak/>
              <w:drawing>
                <wp:inline distT="0" distB="0" distL="0" distR="0" wp14:anchorId="46FFCCA7" wp14:editId="5E5AF47D">
                  <wp:extent cx="2333666" cy="13389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6906" cy="1363752"/>
                          </a:xfrm>
                          <a:prstGeom prst="rect">
                            <a:avLst/>
                          </a:prstGeom>
                          <a:noFill/>
                          <a:ln>
                            <a:noFill/>
                          </a:ln>
                        </pic:spPr>
                      </pic:pic>
                    </a:graphicData>
                  </a:graphic>
                </wp:inline>
              </w:drawing>
            </w:r>
          </w:p>
        </w:tc>
        <w:tc>
          <w:tcPr>
            <w:tcW w:w="3702" w:type="dxa"/>
          </w:tcPr>
          <w:p w14:paraId="60B206FB" w14:textId="77777777" w:rsidR="008B6FA5" w:rsidRDefault="008B6FA5" w:rsidP="00097931">
            <w:pPr>
              <w:jc w:val="center"/>
            </w:pPr>
            <w:r>
              <w:rPr>
                <w:noProof/>
              </w:rPr>
              <w:drawing>
                <wp:inline distT="0" distB="0" distL="0" distR="0" wp14:anchorId="626246BC" wp14:editId="6F4086A4">
                  <wp:extent cx="2144485" cy="1370862"/>
                  <wp:effectExtent l="0" t="0" r="825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5496" cy="1377901"/>
                          </a:xfrm>
                          <a:prstGeom prst="rect">
                            <a:avLst/>
                          </a:prstGeom>
                          <a:noFill/>
                          <a:ln>
                            <a:noFill/>
                          </a:ln>
                        </pic:spPr>
                      </pic:pic>
                    </a:graphicData>
                  </a:graphic>
                </wp:inline>
              </w:drawing>
            </w:r>
          </w:p>
        </w:tc>
      </w:tr>
      <w:tr w:rsidR="008B6FA5" w14:paraId="6A43D2ED" w14:textId="77777777" w:rsidTr="00097931">
        <w:trPr>
          <w:trHeight w:val="1994"/>
          <w:jc w:val="center"/>
        </w:trPr>
        <w:tc>
          <w:tcPr>
            <w:tcW w:w="3878" w:type="dxa"/>
          </w:tcPr>
          <w:p w14:paraId="4FEDF595" w14:textId="77777777" w:rsidR="008B6FA5" w:rsidRDefault="008B6FA5" w:rsidP="00097931">
            <w:pPr>
              <w:jc w:val="center"/>
            </w:pPr>
            <w:r>
              <w:rPr>
                <w:noProof/>
              </w:rPr>
              <w:drawing>
                <wp:inline distT="0" distB="0" distL="0" distR="0" wp14:anchorId="197A3472" wp14:editId="003ABE6D">
                  <wp:extent cx="2373086" cy="1513542"/>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7929" cy="1516631"/>
                          </a:xfrm>
                          <a:prstGeom prst="rect">
                            <a:avLst/>
                          </a:prstGeom>
                          <a:noFill/>
                          <a:ln>
                            <a:noFill/>
                          </a:ln>
                        </pic:spPr>
                      </pic:pic>
                    </a:graphicData>
                  </a:graphic>
                </wp:inline>
              </w:drawing>
            </w:r>
          </w:p>
        </w:tc>
        <w:tc>
          <w:tcPr>
            <w:tcW w:w="3702" w:type="dxa"/>
          </w:tcPr>
          <w:p w14:paraId="76F32E4A" w14:textId="77777777" w:rsidR="008B6FA5" w:rsidRDefault="008B6FA5" w:rsidP="00097931">
            <w:pPr>
              <w:jc w:val="center"/>
            </w:pPr>
            <w:r>
              <w:rPr>
                <w:noProof/>
              </w:rPr>
              <w:drawing>
                <wp:inline distT="0" distB="0" distL="0" distR="0" wp14:anchorId="68A81A3C" wp14:editId="14036A4F">
                  <wp:extent cx="2264229" cy="1573058"/>
                  <wp:effectExtent l="0" t="0" r="317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9666" cy="1583783"/>
                          </a:xfrm>
                          <a:prstGeom prst="rect">
                            <a:avLst/>
                          </a:prstGeom>
                          <a:noFill/>
                          <a:ln>
                            <a:noFill/>
                          </a:ln>
                        </pic:spPr>
                      </pic:pic>
                    </a:graphicData>
                  </a:graphic>
                </wp:inline>
              </w:drawing>
            </w:r>
          </w:p>
        </w:tc>
      </w:tr>
    </w:tbl>
    <w:p w14:paraId="1B5C4D7A" w14:textId="41D895A2" w:rsidR="00AE6701" w:rsidRDefault="00AE6701" w:rsidP="008B6FA5">
      <w:pPr>
        <w:pStyle w:val="Els-caption"/>
        <w:jc w:val="center"/>
      </w:pPr>
      <w:r>
        <w:t xml:space="preserve">Figure 1. </w:t>
      </w:r>
      <w:r w:rsidR="008B6FA5" w:rsidRPr="008B6FA5">
        <w:t>Research location map</w:t>
      </w:r>
    </w:p>
    <w:p w14:paraId="6D94071A" w14:textId="77777777" w:rsidR="008B6FA5" w:rsidRDefault="008B6FA5" w:rsidP="008B6FA5">
      <w:pPr>
        <w:pStyle w:val="Els-2ndorder-head"/>
        <w:spacing w:after="0"/>
      </w:pPr>
      <w:r>
        <w:t>Tools and Materials</w:t>
      </w:r>
    </w:p>
    <w:p w14:paraId="0F4A4B61" w14:textId="4C92EA31" w:rsidR="008B6FA5" w:rsidRDefault="008B6FA5" w:rsidP="008B6FA5">
      <w:pPr>
        <w:pStyle w:val="Els-body-text"/>
        <w:spacing w:after="240"/>
      </w:pPr>
      <w:r>
        <w:t>The tools and materials used in this study included a tree identification guide for the Dipterocarpaceae family, GPS, a laptop, a camera, a measuring tape, a Haga altimeter, a diameter tape (phi-band), a compass, writing instruments, binoculars, a machete, rope, and data recording sheets.</w:t>
      </w:r>
    </w:p>
    <w:p w14:paraId="303A72B9" w14:textId="28F74DA8" w:rsidR="008B6FA5" w:rsidRDefault="008B6FA5" w:rsidP="008B6FA5">
      <w:pPr>
        <w:pStyle w:val="Els-2ndorder-head"/>
        <w:spacing w:after="0"/>
      </w:pPr>
      <w:r>
        <w:t>Research Method</w:t>
      </w:r>
    </w:p>
    <w:p w14:paraId="109D27AE" w14:textId="26050CF0" w:rsidR="008B6FA5" w:rsidRDefault="008B6FA5" w:rsidP="008B6FA5">
      <w:pPr>
        <w:pStyle w:val="Els-body-text"/>
        <w:spacing w:after="240"/>
      </w:pPr>
      <w:r>
        <w:t>This research employed a field survey method. Vegetation analysis conducted in the heterogeneous natural forest yielded data on species composition, ecosystem structure, biodiversity, and species evenness [17]. Along the designated transect lines within the arboretum block of the Sungai Harapan protected forest area, vegetation data</w:t>
      </w:r>
      <w:r w:rsidR="006A1B1C">
        <w:t>,</w:t>
      </w:r>
      <w:r>
        <w:t xml:space="preserve"> including species, number of individuals, tree diameter, and basal area</w:t>
      </w:r>
      <w:r w:rsidR="006A1B1C">
        <w:t>,</w:t>
      </w:r>
      <w:r>
        <w:t xml:space="preserve"> were collected to calculate the Importance Value Index (IVI), diversity index, and evenness index [18]. This analysis is widely used to evaluate the structure and biodiversity of forest ecosystems [19]. In addition to the primary data, secondary data </w:t>
      </w:r>
      <w:r w:rsidR="006A1B1C">
        <w:t>on environmental conditions, such as soil type, soil pH, temperature, and humidity at the research site, were</w:t>
      </w:r>
      <w:r>
        <w:t xml:space="preserve"> collected from various literature sources.</w:t>
      </w:r>
    </w:p>
    <w:p w14:paraId="780805D7" w14:textId="19CE3586" w:rsidR="008B6FA5" w:rsidRDefault="008B6FA5" w:rsidP="008B6FA5">
      <w:pPr>
        <w:pStyle w:val="Els-2ndorder-head"/>
        <w:spacing w:after="0"/>
      </w:pPr>
      <w:r>
        <w:t>Plot Des</w:t>
      </w:r>
      <w:r w:rsidR="006A1B1C">
        <w:t>ig</w:t>
      </w:r>
      <w:r>
        <w:t>n and Samp</w:t>
      </w:r>
      <w:r w:rsidR="006A1B1C">
        <w:t>l</w:t>
      </w:r>
      <w:r>
        <w:t xml:space="preserve">ing Plot </w:t>
      </w:r>
    </w:p>
    <w:p w14:paraId="08D064A2" w14:textId="59E0F432" w:rsidR="008B6FA5" w:rsidRDefault="008B6FA5" w:rsidP="008B6FA5">
      <w:pPr>
        <w:pStyle w:val="Els-body-text"/>
        <w:spacing w:after="240"/>
      </w:pPr>
      <w:r>
        <w:t>Data collection was conducted using plots based on a systematic sampling method with a random start. A sampling intensity of 2% of the 87-hectare area was applied, resulting in a total sampled area of approximately 1.74 hectares. This level of sampling intensity is typically used to assess forest vegetation diversity</w:t>
      </w:r>
      <w:r w:rsidR="006A1B1C">
        <w:t>,</w:t>
      </w:r>
      <w:r>
        <w:t xml:space="preserve"> specifically to determine species composition</w:t>
      </w:r>
      <w:r w:rsidR="006A1B1C">
        <w:t>,</w:t>
      </w:r>
      <w:r>
        <w:t xml:space="preserve"> rather than for a comprehensive inventory [17]. A total </w:t>
      </w:r>
      <w:r w:rsidR="006A1B1C">
        <w:t xml:space="preserve">of </w:t>
      </w:r>
      <w:r>
        <w:t>44 sample plots were distributed across the study area to capture the presence of the target species, namely the Dipterocarpaceae family [18]. The sample plots were square-shaped, with dimensions of 2 m × 2 m (seedlings), 5 m × 5 m (saplings), 10 m × 10 m (poles), and 20 m × 20 m (trees) [19].</w:t>
      </w:r>
    </w:p>
    <w:p w14:paraId="57307183" w14:textId="4DAE01A2" w:rsidR="008B6FA5" w:rsidRDefault="005755C8" w:rsidP="005755C8">
      <w:pPr>
        <w:jc w:val="center"/>
      </w:pPr>
      <w:r>
        <w:rPr>
          <w:rFonts w:eastAsia="Times New Roman" w:cs="Times New Roman"/>
          <w:noProof/>
          <w:szCs w:val="22"/>
          <w:lang w:val="en-US"/>
        </w:rPr>
        <w:lastRenderedPageBreak/>
        <w:drawing>
          <wp:inline distT="0" distB="0" distL="0" distR="0" wp14:anchorId="27817839" wp14:editId="2CEDEA6A">
            <wp:extent cx="5701147" cy="29981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2719" cy="2999003"/>
                    </a:xfrm>
                    <a:prstGeom prst="rect">
                      <a:avLst/>
                    </a:prstGeom>
                    <a:noFill/>
                    <a:ln>
                      <a:noFill/>
                    </a:ln>
                  </pic:spPr>
                </pic:pic>
              </a:graphicData>
            </a:graphic>
          </wp:inline>
        </w:drawing>
      </w:r>
    </w:p>
    <w:p w14:paraId="3B868E26" w14:textId="7A726C7B" w:rsidR="005755C8" w:rsidRDefault="005755C8" w:rsidP="005755C8">
      <w:pPr>
        <w:pStyle w:val="Els-caption"/>
        <w:jc w:val="center"/>
      </w:pPr>
      <w:r>
        <w:t>Figure 2. Plot Des</w:t>
      </w:r>
      <w:r w:rsidR="006A5274">
        <w:t>ig</w:t>
      </w:r>
      <w:r>
        <w:t>n and Samp</w:t>
      </w:r>
      <w:r w:rsidR="006A5274">
        <w:t>l</w:t>
      </w:r>
      <w:r>
        <w:t>ing Plot</w:t>
      </w:r>
    </w:p>
    <w:p w14:paraId="34080B17" w14:textId="1B934147" w:rsidR="005755C8" w:rsidRDefault="005755C8" w:rsidP="005755C8">
      <w:pPr>
        <w:pStyle w:val="Els-2ndorder-head"/>
        <w:spacing w:after="0"/>
      </w:pPr>
      <w:r>
        <w:t>Data Analysis</w:t>
      </w:r>
    </w:p>
    <w:p w14:paraId="339E4F8B" w14:textId="77777777" w:rsidR="005755C8" w:rsidRDefault="005755C8" w:rsidP="005755C8">
      <w:pPr>
        <w:pStyle w:val="Els-body-text"/>
        <w:spacing w:after="240"/>
      </w:pPr>
      <w:r>
        <w:t>The Importance Value Index (IVI) is calculated using the following formulas:</w:t>
      </w:r>
    </w:p>
    <w:p w14:paraId="3F17EE70" w14:textId="0109CD96" w:rsidR="005755C8" w:rsidRDefault="005755C8" w:rsidP="005755C8">
      <w:pPr>
        <w:spacing w:after="240"/>
        <w:jc w:val="right"/>
      </w:pPr>
      <m:oMath>
        <m:r>
          <m:rPr>
            <m:sty m:val="p"/>
          </m:rPr>
          <w:rPr>
            <w:rFonts w:ascii="Cambria Math" w:hAnsi="Cambria Math"/>
          </w:rPr>
          <m:t>IVI = RD + RF (seedlings and saplings)</m:t>
        </m:r>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t>(1)</w:t>
      </w:r>
    </w:p>
    <w:p w14:paraId="1483EF57" w14:textId="72DC341D" w:rsidR="005755C8" w:rsidRDefault="005755C8" w:rsidP="005755C8">
      <w:pPr>
        <w:pStyle w:val="Els-body-text"/>
        <w:spacing w:after="240"/>
        <w:jc w:val="right"/>
      </w:pPr>
      <m:oMath>
        <m:r>
          <m:rPr>
            <m:sty m:val="p"/>
          </m:rPr>
          <w:rPr>
            <w:rFonts w:ascii="Cambria Math" w:hAnsi="Cambria Math"/>
          </w:rPr>
          <m:t>IVI = RD + RF + RDo (trees and poles)</m:t>
        </m:r>
      </m:oMath>
      <w:r>
        <w:t xml:space="preserve"> </w:t>
      </w:r>
      <w:r>
        <w:tab/>
      </w:r>
      <w:r>
        <w:tab/>
      </w:r>
      <w:r>
        <w:tab/>
      </w:r>
      <w:r>
        <w:tab/>
      </w:r>
      <w:r w:rsidR="00AF3D5D">
        <w:t xml:space="preserve">  </w:t>
      </w:r>
      <w:r>
        <w:t>(2)</w:t>
      </w:r>
    </w:p>
    <w:p w14:paraId="24819BEC" w14:textId="77777777" w:rsidR="005755C8" w:rsidRDefault="005755C8" w:rsidP="005755C8">
      <w:pPr>
        <w:pStyle w:val="Els-body-text"/>
      </w:pPr>
      <w:r>
        <w:t>Where:</w:t>
      </w:r>
    </w:p>
    <w:p w14:paraId="1B4772DF" w14:textId="22016AC5" w:rsidR="005755C8" w:rsidRDefault="005755C8" w:rsidP="005755C8">
      <w:pPr>
        <w:pStyle w:val="Els-body-text"/>
      </w:pPr>
      <w:r>
        <w:t>RD</w:t>
      </w:r>
      <w:r w:rsidR="00AF3D5D">
        <w:t xml:space="preserve"> </w:t>
      </w:r>
      <w:r>
        <w:t xml:space="preserve">= Relative Density </w:t>
      </w:r>
    </w:p>
    <w:p w14:paraId="1F0E8917" w14:textId="2B69D737" w:rsidR="005755C8" w:rsidRDefault="005755C8" w:rsidP="005755C8">
      <w:pPr>
        <w:pStyle w:val="Els-body-text"/>
      </w:pPr>
      <w:r>
        <w:t>RF</w:t>
      </w:r>
      <w:r w:rsidR="00AF3D5D">
        <w:t xml:space="preserve"> </w:t>
      </w:r>
      <w:r>
        <w:t xml:space="preserve">= Relative Frequency </w:t>
      </w:r>
    </w:p>
    <w:p w14:paraId="5248171C" w14:textId="0BADF40D" w:rsidR="008B6FA5" w:rsidRDefault="005755C8" w:rsidP="005755C8">
      <w:pPr>
        <w:pStyle w:val="Els-body-text"/>
        <w:spacing w:after="240"/>
      </w:pPr>
      <w:r>
        <w:t>RDo = Relative Dominance</w:t>
      </w:r>
    </w:p>
    <w:p w14:paraId="784A8557" w14:textId="59744275" w:rsidR="008B6FA5" w:rsidRPr="005755C8" w:rsidRDefault="005755C8" w:rsidP="005755C8">
      <w:pPr>
        <w:spacing w:after="240"/>
        <w:jc w:val="right"/>
      </w:pPr>
      <m:oMath>
        <m:r>
          <m:rPr>
            <m:sty m:val="p"/>
          </m:rPr>
          <w:rPr>
            <w:rFonts w:ascii="Cambria Math" w:hAnsi="Cambria Math"/>
          </w:rPr>
          <m:t xml:space="preserve">Density (D)= </m:t>
        </m:r>
        <m:f>
          <m:fPr>
            <m:ctrlPr>
              <w:rPr>
                <w:rFonts w:ascii="Cambria Math" w:hAnsi="Cambria Math"/>
              </w:rPr>
            </m:ctrlPr>
          </m:fPr>
          <m:num>
            <m:r>
              <m:rPr>
                <m:sty m:val="p"/>
              </m:rPr>
              <w:rPr>
                <w:rStyle w:val="katex-mathml"/>
                <w:rFonts w:ascii="Cambria Math" w:hAnsi="Cambria Math" w:cstheme="majorBidi"/>
                <w:sz w:val="20"/>
                <w:szCs w:val="20"/>
              </w:rPr>
              <m:t>Number of individuals of a species</m:t>
            </m:r>
          </m:num>
          <m:den>
            <m:r>
              <m:rPr>
                <m:sty m:val="p"/>
              </m:rPr>
              <w:rPr>
                <w:rStyle w:val="katex-mathml"/>
                <w:rFonts w:ascii="Cambria Math" w:hAnsi="Cambria Math" w:cstheme="majorBidi"/>
                <w:sz w:val="20"/>
                <w:szCs w:val="20"/>
              </w:rPr>
              <m:t>Sample plot area</m:t>
            </m:r>
          </m:den>
        </m:f>
      </m:oMath>
      <w:r>
        <w:rPr>
          <w:rFonts w:eastAsiaTheme="minorEastAsia"/>
        </w:rPr>
        <w:t xml:space="preserve"> </w:t>
      </w:r>
      <w:r>
        <w:rPr>
          <w:rFonts w:eastAsiaTheme="minorEastAsia"/>
        </w:rPr>
        <w:tab/>
      </w:r>
      <w:r>
        <w:rPr>
          <w:rFonts w:eastAsiaTheme="minorEastAsia"/>
        </w:rPr>
        <w:tab/>
      </w:r>
      <w:r w:rsidR="004C7286">
        <w:rPr>
          <w:rFonts w:eastAsiaTheme="minorEastAsia"/>
        </w:rPr>
        <w:t xml:space="preserve"> </w:t>
      </w:r>
      <w:r>
        <w:rPr>
          <w:rFonts w:eastAsiaTheme="minorEastAsia"/>
        </w:rPr>
        <w:tab/>
      </w:r>
      <w:r>
        <w:rPr>
          <w:rFonts w:eastAsiaTheme="minorEastAsia"/>
        </w:rPr>
        <w:tab/>
      </w:r>
      <w:r>
        <w:rPr>
          <w:rFonts w:eastAsiaTheme="minorEastAsia"/>
        </w:rPr>
        <w:tab/>
        <w:t>(3)</w:t>
      </w:r>
    </w:p>
    <w:p w14:paraId="0140593F" w14:textId="59A0C685" w:rsidR="008B6FA5" w:rsidRDefault="005755C8" w:rsidP="005755C8">
      <w:pPr>
        <w:spacing w:after="240"/>
        <w:jc w:val="right"/>
      </w:pPr>
      <m:oMath>
        <m:r>
          <m:rPr>
            <m:sty m:val="p"/>
          </m:rPr>
          <w:rPr>
            <w:rFonts w:ascii="Cambria Math" w:hAnsi="Cambria Math" w:cstheme="majorBidi"/>
            <w:sz w:val="20"/>
            <w:szCs w:val="20"/>
          </w:rPr>
          <m:t xml:space="preserve">Relative Density </m:t>
        </m:r>
        <m:d>
          <m:dPr>
            <m:ctrlPr>
              <w:rPr>
                <w:rFonts w:ascii="Cambria Math" w:hAnsi="Cambria Math" w:cstheme="majorBidi"/>
                <w:sz w:val="20"/>
                <w:szCs w:val="20"/>
              </w:rPr>
            </m:ctrlPr>
          </m:dPr>
          <m:e>
            <m:r>
              <m:rPr>
                <m:sty m:val="p"/>
              </m:rPr>
              <w:rPr>
                <w:rFonts w:ascii="Cambria Math" w:hAnsi="Cambria Math" w:cstheme="majorBidi"/>
                <w:sz w:val="20"/>
                <w:szCs w:val="20"/>
              </w:rPr>
              <m:t>RD</m:t>
            </m:r>
          </m:e>
        </m:d>
        <m:r>
          <m:rPr>
            <m:sty m:val="p"/>
          </m:rPr>
          <w:rPr>
            <w:rFonts w:ascii="Cambria Math" w:hAnsi="Cambria Math" w:cstheme="majorBidi"/>
            <w:sz w:val="20"/>
            <w:szCs w:val="20"/>
          </w:rPr>
          <m:t xml:space="preserve">= </m:t>
        </m:r>
        <m:f>
          <m:fPr>
            <m:ctrlPr>
              <w:rPr>
                <w:rFonts w:ascii="Cambria Math" w:hAnsi="Cambria Math" w:cstheme="majorBidi"/>
                <w:sz w:val="20"/>
                <w:szCs w:val="20"/>
              </w:rPr>
            </m:ctrlPr>
          </m:fPr>
          <m:num>
            <m:r>
              <m:rPr>
                <m:sty m:val="p"/>
              </m:rPr>
              <w:rPr>
                <w:rFonts w:ascii="Cambria Math" w:hAnsi="Cambria Math" w:cstheme="majorBidi"/>
                <w:sz w:val="20"/>
                <w:szCs w:val="20"/>
              </w:rPr>
              <m:t xml:space="preserve"> Density of species </m:t>
            </m:r>
          </m:num>
          <m:den>
            <m:r>
              <m:rPr>
                <m:sty m:val="p"/>
              </m:rPr>
              <w:rPr>
                <w:rFonts w:ascii="Cambria Math" w:hAnsi="Cambria Math" w:cstheme="majorBidi"/>
                <w:sz w:val="20"/>
                <w:szCs w:val="20"/>
              </w:rPr>
              <m:t>Total Density of all species</m:t>
            </m:r>
          </m:den>
        </m:f>
        <m:r>
          <w:rPr>
            <w:rFonts w:ascii="Cambria Math" w:hAnsi="Cambria Math" w:cstheme="majorBidi"/>
            <w:sz w:val="20"/>
            <w:szCs w:val="20"/>
          </w:rPr>
          <m:t>×100%</m:t>
        </m:r>
      </m:oMath>
      <w:r>
        <w:rPr>
          <w:rFonts w:eastAsiaTheme="minorEastAsia"/>
          <w:sz w:val="20"/>
          <w:szCs w:val="20"/>
        </w:rPr>
        <w:t xml:space="preserve"> </w:t>
      </w:r>
      <w:r>
        <w:rPr>
          <w:rFonts w:eastAsiaTheme="minorEastAsia"/>
          <w:sz w:val="20"/>
          <w:szCs w:val="20"/>
        </w:rPr>
        <w:tab/>
      </w:r>
      <w:r>
        <w:rPr>
          <w:rFonts w:eastAsiaTheme="minorEastAsia"/>
          <w:sz w:val="20"/>
          <w:szCs w:val="20"/>
        </w:rPr>
        <w:tab/>
      </w:r>
      <w:r>
        <w:rPr>
          <w:rFonts w:eastAsiaTheme="minorEastAsia"/>
          <w:sz w:val="20"/>
          <w:szCs w:val="20"/>
        </w:rPr>
        <w:tab/>
      </w:r>
      <w:r>
        <w:rPr>
          <w:rFonts w:eastAsiaTheme="minorEastAsia"/>
          <w:sz w:val="20"/>
          <w:szCs w:val="20"/>
        </w:rPr>
        <w:tab/>
      </w:r>
      <w:r w:rsidRPr="004C7286">
        <w:rPr>
          <w:rFonts w:eastAsiaTheme="minorEastAsia"/>
          <w:szCs w:val="22"/>
        </w:rPr>
        <w:t>(4)</w:t>
      </w:r>
    </w:p>
    <w:p w14:paraId="1E06A9FD" w14:textId="35B1DB46" w:rsidR="008B6FA5" w:rsidRPr="004C7286" w:rsidRDefault="005755C8" w:rsidP="005755C8">
      <w:pPr>
        <w:spacing w:after="240"/>
        <w:jc w:val="right"/>
        <w:rPr>
          <w:szCs w:val="22"/>
        </w:rPr>
      </w:pPr>
      <m:oMath>
        <m:r>
          <m:rPr>
            <m:sty m:val="p"/>
          </m:rPr>
          <w:rPr>
            <w:rFonts w:ascii="Cambria Math" w:eastAsia="Times New Roman" w:hAnsi="Cambria Math" w:cs="Times New Roman"/>
            <w:color w:val="000000"/>
            <w:sz w:val="20"/>
            <w:szCs w:val="20"/>
          </w:rPr>
          <m:t>Frequency</m:t>
        </m:r>
        <m:r>
          <m:rPr>
            <m:sty m:val="p"/>
          </m:rPr>
          <w:rPr>
            <w:rFonts w:ascii="Cambria Math" w:hAnsi="Cambria Math" w:cs="Times New Roman"/>
            <w:sz w:val="20"/>
            <w:szCs w:val="20"/>
          </w:rPr>
          <m:t xml:space="preserve"> (F)= </m:t>
        </m:r>
        <m:f>
          <m:fPr>
            <m:ctrlPr>
              <w:rPr>
                <w:rFonts w:ascii="Cambria Math" w:hAnsi="Cambria Math" w:cs="Times New Roman"/>
                <w:sz w:val="20"/>
                <w:szCs w:val="20"/>
              </w:rPr>
            </m:ctrlPr>
          </m:fPr>
          <m:num>
            <m:r>
              <m:rPr>
                <m:sty m:val="p"/>
              </m:rPr>
              <w:rPr>
                <w:rStyle w:val="mord"/>
                <w:rFonts w:ascii="Cambria Math" w:hAnsi="Cambria Math"/>
                <w:sz w:val="20"/>
                <w:szCs w:val="20"/>
              </w:rPr>
              <m:t>Number of plots where a species is found</m:t>
            </m:r>
            <m:r>
              <m:rPr>
                <m:sty m:val="b"/>
              </m:rPr>
              <w:rPr>
                <w:rStyle w:val="vlist-s"/>
                <w:rFonts w:ascii="Cambria Math" w:hAnsi="Cambria Math"/>
                <w:sz w:val="20"/>
                <w:szCs w:val="20"/>
              </w:rPr>
              <m:t>​</m:t>
            </m:r>
          </m:num>
          <m:den>
            <m:r>
              <m:rPr>
                <m:sty m:val="p"/>
              </m:rPr>
              <w:rPr>
                <w:rStyle w:val="katex-mathml"/>
                <w:rFonts w:ascii="Cambria Math" w:hAnsi="Cambria Math" w:cstheme="majorBidi"/>
                <w:sz w:val="20"/>
                <w:szCs w:val="20"/>
              </w:rPr>
              <m:t>Total number of observation plots</m:t>
            </m:r>
          </m:den>
        </m:f>
      </m:oMath>
      <w:r>
        <w:rPr>
          <w:rFonts w:eastAsiaTheme="minorEastAsia"/>
          <w:sz w:val="20"/>
          <w:szCs w:val="20"/>
        </w:rPr>
        <w:t xml:space="preserve"> </w:t>
      </w:r>
      <w:r>
        <w:rPr>
          <w:rFonts w:eastAsiaTheme="minorEastAsia"/>
          <w:sz w:val="20"/>
          <w:szCs w:val="20"/>
        </w:rPr>
        <w:tab/>
      </w:r>
      <w:r>
        <w:rPr>
          <w:rFonts w:eastAsiaTheme="minorEastAsia"/>
          <w:sz w:val="20"/>
          <w:szCs w:val="20"/>
        </w:rPr>
        <w:tab/>
      </w:r>
      <w:r>
        <w:rPr>
          <w:rFonts w:eastAsiaTheme="minorEastAsia"/>
          <w:sz w:val="20"/>
          <w:szCs w:val="20"/>
        </w:rPr>
        <w:tab/>
      </w:r>
      <w:r>
        <w:rPr>
          <w:rFonts w:eastAsiaTheme="minorEastAsia"/>
          <w:sz w:val="20"/>
          <w:szCs w:val="20"/>
        </w:rPr>
        <w:tab/>
      </w:r>
      <w:r w:rsidRPr="004C7286">
        <w:rPr>
          <w:rFonts w:eastAsiaTheme="minorEastAsia"/>
          <w:szCs w:val="22"/>
        </w:rPr>
        <w:t>(5)</w:t>
      </w:r>
    </w:p>
    <w:p w14:paraId="17B92FF3" w14:textId="22B5646F" w:rsidR="008B6FA5" w:rsidRDefault="005755C8" w:rsidP="004C7286">
      <w:pPr>
        <w:spacing w:after="240"/>
        <w:jc w:val="right"/>
      </w:pPr>
      <m:oMath>
        <m:r>
          <m:rPr>
            <m:sty m:val="p"/>
          </m:rPr>
          <w:rPr>
            <w:rFonts w:ascii="Cambria Math" w:hAnsi="Cambria Math" w:cs="Times New Roman"/>
            <w:sz w:val="20"/>
            <w:szCs w:val="20"/>
          </w:rPr>
          <m:t xml:space="preserve">Relative </m:t>
        </m:r>
        <m:r>
          <m:rPr>
            <m:sty m:val="p"/>
          </m:rPr>
          <w:rPr>
            <w:rFonts w:ascii="Cambria Math" w:eastAsia="Times New Roman" w:hAnsi="Cambria Math" w:cs="Times New Roman"/>
            <w:color w:val="000000"/>
            <w:sz w:val="20"/>
            <w:szCs w:val="20"/>
          </w:rPr>
          <m:t>Frequency</m:t>
        </m:r>
        <m:r>
          <m:rPr>
            <m:sty m:val="p"/>
          </m:rP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RF</m:t>
            </m:r>
          </m:e>
        </m:d>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m:rPr>
                <m:sty m:val="p"/>
              </m:rPr>
              <w:rPr>
                <w:rFonts w:ascii="Cambria Math" w:eastAsia="Times New Roman" w:hAnsi="Cambria Math" w:cs="Times New Roman"/>
                <w:color w:val="000000"/>
                <w:sz w:val="20"/>
                <w:szCs w:val="20"/>
              </w:rPr>
              <m:t>Frequency</m:t>
            </m:r>
            <m:r>
              <m:rPr>
                <m:sty m:val="p"/>
              </m:rPr>
              <w:rPr>
                <w:rFonts w:ascii="Cambria Math" w:hAnsi="Cambria Math" w:cs="Times New Roman"/>
                <w:sz w:val="20"/>
                <w:szCs w:val="20"/>
              </w:rPr>
              <m:t xml:space="preserve"> of species </m:t>
            </m:r>
          </m:num>
          <m:den>
            <m:r>
              <m:rPr>
                <m:sty m:val="p"/>
              </m:rPr>
              <w:rPr>
                <w:rFonts w:ascii="Cambria Math" w:hAnsi="Cambria Math" w:cs="Times New Roman"/>
                <w:sz w:val="20"/>
                <w:szCs w:val="20"/>
              </w:rPr>
              <m:t xml:space="preserve">Total </m:t>
            </m:r>
            <m:r>
              <m:rPr>
                <m:sty m:val="p"/>
              </m:rPr>
              <w:rPr>
                <w:rFonts w:ascii="Cambria Math" w:eastAsia="Times New Roman" w:hAnsi="Cambria Math" w:cs="Times New Roman"/>
                <w:color w:val="000000"/>
                <w:sz w:val="20"/>
                <w:szCs w:val="20"/>
              </w:rPr>
              <m:t>Frequency</m:t>
            </m:r>
            <m:r>
              <m:rPr>
                <m:sty m:val="p"/>
              </m:rPr>
              <w:rPr>
                <w:rFonts w:ascii="Cambria Math" w:hAnsi="Cambria Math" w:cs="Times New Roman"/>
                <w:sz w:val="20"/>
                <w:szCs w:val="20"/>
              </w:rPr>
              <m:t xml:space="preserve"> of all species</m:t>
            </m:r>
          </m:den>
        </m:f>
        <m:r>
          <w:rPr>
            <w:rFonts w:ascii="Cambria Math" w:hAnsi="Cambria Math" w:cs="Times New Roman"/>
            <w:sz w:val="20"/>
            <w:szCs w:val="20"/>
          </w:rPr>
          <m:t>×100%</m:t>
        </m:r>
      </m:oMath>
      <w:r w:rsidR="004C7286">
        <w:rPr>
          <w:rFonts w:eastAsiaTheme="minorEastAsia"/>
          <w:sz w:val="20"/>
          <w:szCs w:val="20"/>
        </w:rPr>
        <w:t xml:space="preserve"> </w:t>
      </w:r>
      <w:r w:rsidR="004C7286">
        <w:rPr>
          <w:rFonts w:eastAsiaTheme="minorEastAsia"/>
          <w:sz w:val="20"/>
          <w:szCs w:val="20"/>
        </w:rPr>
        <w:tab/>
      </w:r>
      <w:r w:rsidR="004C7286">
        <w:rPr>
          <w:rFonts w:eastAsiaTheme="minorEastAsia"/>
          <w:sz w:val="20"/>
          <w:szCs w:val="20"/>
        </w:rPr>
        <w:tab/>
      </w:r>
      <w:r w:rsidR="004C7286">
        <w:rPr>
          <w:rFonts w:eastAsiaTheme="minorEastAsia"/>
          <w:sz w:val="20"/>
          <w:szCs w:val="20"/>
        </w:rPr>
        <w:tab/>
      </w:r>
      <w:r w:rsidR="004C7286" w:rsidRPr="004C7286">
        <w:rPr>
          <w:rFonts w:eastAsiaTheme="minorEastAsia"/>
          <w:szCs w:val="22"/>
        </w:rPr>
        <w:t>(6)</w:t>
      </w:r>
    </w:p>
    <w:p w14:paraId="324F47DB" w14:textId="4F82DD86" w:rsidR="008B6FA5" w:rsidRDefault="004C7286" w:rsidP="004C7286">
      <w:pPr>
        <w:spacing w:after="240"/>
        <w:jc w:val="right"/>
      </w:pPr>
      <m:oMath>
        <m:r>
          <m:rPr>
            <m:sty m:val="p"/>
          </m:rPr>
          <w:rPr>
            <w:rFonts w:ascii="Cambria Math" w:hAnsi="Cambria Math" w:cs="Times New Roman"/>
            <w:sz w:val="20"/>
            <w:szCs w:val="20"/>
          </w:rPr>
          <m:t xml:space="preserve">Dominance (Do)= </m:t>
        </m:r>
        <m:f>
          <m:fPr>
            <m:ctrlPr>
              <w:rPr>
                <w:rFonts w:ascii="Cambria Math" w:hAnsi="Cambria Math" w:cs="Times New Roman"/>
                <w:sz w:val="20"/>
                <w:szCs w:val="20"/>
              </w:rPr>
            </m:ctrlPr>
          </m:fPr>
          <m:num>
            <m:r>
              <m:rPr>
                <m:sty m:val="p"/>
              </m:rPr>
              <w:rPr>
                <w:rStyle w:val="katex-mathml"/>
                <w:rFonts w:ascii="Cambria Math" w:hAnsi="Cambria Math" w:cstheme="majorBidi"/>
                <w:sz w:val="20"/>
                <w:szCs w:val="20"/>
              </w:rPr>
              <m:t>Total basal area of a species</m:t>
            </m:r>
          </m:num>
          <m:den>
            <m:r>
              <m:rPr>
                <m:sty m:val="p"/>
              </m:rPr>
              <w:rPr>
                <w:rStyle w:val="katex-mathml"/>
                <w:rFonts w:ascii="Cambria Math" w:hAnsi="Cambria Math" w:cstheme="majorBidi"/>
                <w:sz w:val="20"/>
                <w:szCs w:val="20"/>
              </w:rPr>
              <m:t>Observation area</m:t>
            </m:r>
          </m:den>
        </m:f>
      </m:oMath>
      <w:r>
        <w:rPr>
          <w:rFonts w:eastAsiaTheme="minorEastAsia"/>
          <w:sz w:val="20"/>
          <w:szCs w:val="20"/>
        </w:rPr>
        <w:t xml:space="preserve"> </w:t>
      </w:r>
      <w:r>
        <w:rPr>
          <w:rFonts w:eastAsiaTheme="minorEastAsia"/>
          <w:sz w:val="20"/>
          <w:szCs w:val="20"/>
        </w:rPr>
        <w:tab/>
      </w:r>
      <w:r>
        <w:rPr>
          <w:rFonts w:eastAsiaTheme="minorEastAsia"/>
          <w:sz w:val="20"/>
          <w:szCs w:val="20"/>
        </w:rPr>
        <w:tab/>
      </w:r>
      <w:r>
        <w:rPr>
          <w:rFonts w:eastAsiaTheme="minorEastAsia"/>
          <w:sz w:val="20"/>
          <w:szCs w:val="20"/>
        </w:rPr>
        <w:tab/>
      </w:r>
      <w:r>
        <w:rPr>
          <w:rFonts w:eastAsiaTheme="minorEastAsia"/>
          <w:sz w:val="20"/>
          <w:szCs w:val="20"/>
        </w:rPr>
        <w:tab/>
      </w:r>
      <w:r w:rsidRPr="004C7286">
        <w:rPr>
          <w:rFonts w:eastAsiaTheme="minorEastAsia"/>
          <w:szCs w:val="22"/>
        </w:rPr>
        <w:t>(7)</w:t>
      </w:r>
    </w:p>
    <w:p w14:paraId="43547200" w14:textId="4E55FCAE" w:rsidR="008B6FA5" w:rsidRDefault="004C7286" w:rsidP="004C7286">
      <w:pPr>
        <w:spacing w:after="240"/>
        <w:jc w:val="right"/>
      </w:pPr>
      <m:oMath>
        <m:r>
          <m:rPr>
            <m:sty m:val="p"/>
          </m:rPr>
          <w:rPr>
            <w:rFonts w:ascii="Cambria Math" w:hAnsi="Cambria Math"/>
          </w:rPr>
          <m:t xml:space="preserve">Dominance Relative  </m:t>
        </m:r>
        <m:d>
          <m:dPr>
            <m:ctrlPr>
              <w:rPr>
                <w:rFonts w:ascii="Cambria Math" w:hAnsi="Cambria Math"/>
              </w:rPr>
            </m:ctrlPr>
          </m:dPr>
          <m:e>
            <m:r>
              <m:rPr>
                <m:sty m:val="p"/>
              </m:rPr>
              <w:rPr>
                <w:rFonts w:ascii="Cambria Math" w:hAnsi="Cambria Math"/>
              </w:rPr>
              <m:t>RDo</m:t>
            </m:r>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 Dominance of species </m:t>
            </m:r>
          </m:num>
          <m:den>
            <m:r>
              <m:rPr>
                <m:sty m:val="p"/>
              </m:rPr>
              <w:rPr>
                <w:rFonts w:ascii="Cambria Math" w:hAnsi="Cambria Math"/>
              </w:rPr>
              <m:t>Total dominance of all species</m:t>
            </m:r>
          </m:den>
        </m:f>
        <m:r>
          <w:rPr>
            <w:rFonts w:ascii="Cambria Math" w:hAnsi="Cambria Math"/>
          </w:rPr>
          <m:t>×100%</m:t>
        </m:r>
      </m:oMath>
      <w:r>
        <w:rPr>
          <w:rFonts w:eastAsiaTheme="minorEastAsia"/>
        </w:rPr>
        <w:t xml:space="preserve"> </w:t>
      </w:r>
      <w:r>
        <w:rPr>
          <w:rFonts w:eastAsiaTheme="minorEastAsia"/>
        </w:rPr>
        <w:tab/>
      </w:r>
      <w:r>
        <w:rPr>
          <w:rFonts w:eastAsiaTheme="minorEastAsia"/>
        </w:rPr>
        <w:tab/>
      </w:r>
      <w:r>
        <w:rPr>
          <w:rFonts w:eastAsiaTheme="minorEastAsia"/>
        </w:rPr>
        <w:tab/>
        <w:t>(8)</w:t>
      </w:r>
    </w:p>
    <w:p w14:paraId="730606BD" w14:textId="2E0231E7" w:rsidR="004C7286" w:rsidRDefault="004C7286" w:rsidP="004C7286">
      <w:pPr>
        <w:pStyle w:val="Els-3rdorder-head"/>
      </w:pPr>
      <w:r>
        <w:t>Species Diversity Index</w:t>
      </w:r>
    </w:p>
    <w:p w14:paraId="493D692F" w14:textId="4298FABF" w:rsidR="004C7286" w:rsidRDefault="004C7286" w:rsidP="004C7286">
      <w:pPr>
        <w:pStyle w:val="Els-body-text"/>
        <w:spacing w:after="240"/>
      </w:pPr>
      <w:r>
        <w:t>Species diversity is a widely used ecological indicator for evaluating community structure and ecosystem resilience</w:t>
      </w:r>
      <w:r w:rsidR="006A5274">
        <w:t>, accounting for</w:t>
      </w:r>
      <w:r>
        <w:t xml:space="preserve"> species richness and relative abundance. Higher species diversity is associated with greater resilience and better environmental quality [20].</w:t>
      </w:r>
    </w:p>
    <w:p w14:paraId="1CD58623" w14:textId="65D1A65B" w:rsidR="008B6FA5" w:rsidRDefault="004C7286" w:rsidP="004C7286">
      <w:pPr>
        <w:pStyle w:val="Els-body-text"/>
        <w:spacing w:after="240"/>
      </w:pPr>
      <w:r>
        <w:t>In this study, species diversity was quantified using the Shannon–Wiener diversity index (H′), which combines species richness and species abundance into a single measure. The species diversity index (H’) is determined using the Shannon–Wiener formula [21]:</w:t>
      </w:r>
    </w:p>
    <w:p w14:paraId="610A1091" w14:textId="3D58A4DA" w:rsidR="008B6FA5" w:rsidRDefault="00426714" w:rsidP="00426714">
      <w:pPr>
        <w:spacing w:after="240"/>
        <w:jc w:val="right"/>
      </w:pPr>
      <m:oMath>
        <m:r>
          <m:rPr>
            <m:sty m:val="p"/>
          </m:rPr>
          <w:rPr>
            <w:rFonts w:ascii="Cambria Math" w:hAnsi="Cambria Math" w:cstheme="majorBidi"/>
          </w:rPr>
          <m:t>H'=-Ʃ(</m:t>
        </m:r>
        <m:f>
          <m:fPr>
            <m:ctrlPr>
              <w:rPr>
                <w:rFonts w:ascii="Cambria Math" w:hAnsi="Cambria Math" w:cstheme="majorBidi"/>
              </w:rPr>
            </m:ctrlPr>
          </m:fPr>
          <m:num>
            <m:r>
              <m:rPr>
                <m:sty m:val="p"/>
              </m:rPr>
              <w:rPr>
                <w:rFonts w:ascii="Cambria Math" w:hAnsi="Cambria Math" w:cstheme="majorBidi"/>
              </w:rPr>
              <m:t>ni</m:t>
            </m:r>
          </m:num>
          <m:den>
            <m:r>
              <m:rPr>
                <m:sty m:val="p"/>
              </m:rPr>
              <w:rPr>
                <w:rFonts w:ascii="Cambria Math" w:hAnsi="Cambria Math" w:cstheme="majorBidi"/>
              </w:rPr>
              <m:t>N</m:t>
            </m:r>
          </m:den>
        </m:f>
        <m:func>
          <m:funcPr>
            <m:ctrlPr>
              <w:rPr>
                <w:rFonts w:ascii="Cambria Math" w:hAnsi="Cambria Math" w:cstheme="majorBidi"/>
                <w:i/>
              </w:rPr>
            </m:ctrlPr>
          </m:funcPr>
          <m:fName>
            <m:r>
              <m:rPr>
                <m:sty m:val="p"/>
              </m:rPr>
              <w:rPr>
                <w:rFonts w:ascii="Cambria Math" w:hAnsi="Cambria Math" w:cstheme="majorBidi"/>
              </w:rPr>
              <m:t>ln</m:t>
            </m:r>
          </m:fName>
          <m:e>
            <m:r>
              <w:rPr>
                <w:rFonts w:ascii="Cambria Math" w:hAnsi="Cambria Math" w:cstheme="majorBidi"/>
              </w:rPr>
              <m:t>(</m:t>
            </m:r>
          </m:e>
        </m:func>
        <m:f>
          <m:fPr>
            <m:ctrlPr>
              <w:rPr>
                <w:rFonts w:ascii="Cambria Math" w:hAnsi="Cambria Math" w:cstheme="majorBidi"/>
              </w:rPr>
            </m:ctrlPr>
          </m:fPr>
          <m:num>
            <m:r>
              <m:rPr>
                <m:sty m:val="p"/>
              </m:rPr>
              <w:rPr>
                <w:rFonts w:ascii="Cambria Math" w:hAnsi="Cambria Math" w:cstheme="majorBidi"/>
              </w:rPr>
              <m:t>ni</m:t>
            </m:r>
          </m:num>
          <m:den>
            <m:r>
              <m:rPr>
                <m:sty m:val="p"/>
              </m:rPr>
              <w:rPr>
                <w:rFonts w:ascii="Cambria Math" w:hAnsi="Cambria Math" w:cstheme="majorBidi"/>
              </w:rPr>
              <m:t>N</m:t>
            </m:r>
          </m:den>
        </m:f>
        <m:r>
          <w:rPr>
            <w:rFonts w:ascii="Cambria Math" w:hAnsi="Cambria Math" w:cstheme="majorBidi"/>
          </w:rPr>
          <m:t xml:space="preserve">) </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(9)</w:t>
      </w:r>
    </w:p>
    <w:p w14:paraId="0EC9C28E" w14:textId="77777777" w:rsidR="00426714" w:rsidRPr="00426714" w:rsidRDefault="00426714" w:rsidP="00426714">
      <w:pPr>
        <w:pStyle w:val="Els-body-text"/>
      </w:pPr>
      <w:r w:rsidRPr="00426714">
        <w:lastRenderedPageBreak/>
        <w:t xml:space="preserve">where </w:t>
      </w:r>
    </w:p>
    <w:p w14:paraId="6D398312" w14:textId="3EEF4C22" w:rsidR="00426714" w:rsidRPr="00426714" w:rsidRDefault="00426714" w:rsidP="00426714">
      <w:pPr>
        <w:pStyle w:val="Els-body-text"/>
      </w:pPr>
      <w:r w:rsidRPr="00426714">
        <w:t>H′</w:t>
      </w:r>
      <w:r w:rsidR="009458AB">
        <w:tab/>
        <w:t>:</w:t>
      </w:r>
      <w:r w:rsidRPr="00426714">
        <w:t xml:space="preserve"> Shannon–Wiener diversity index,</w:t>
      </w:r>
    </w:p>
    <w:p w14:paraId="5266404D" w14:textId="0F4738ED" w:rsidR="00426714" w:rsidRPr="00426714" w:rsidRDefault="00426714" w:rsidP="00426714">
      <w:pPr>
        <w:pStyle w:val="Els-body-text"/>
      </w:pPr>
      <w:r w:rsidRPr="00426714">
        <w:t>nᵢ</w:t>
      </w:r>
      <w:r w:rsidR="009458AB">
        <w:tab/>
        <w:t xml:space="preserve">: </w:t>
      </w:r>
      <w:r w:rsidRPr="00426714">
        <w:t>number of individuals of species i, and</w:t>
      </w:r>
    </w:p>
    <w:p w14:paraId="37BDA011" w14:textId="491B71C5" w:rsidR="00426714" w:rsidRPr="00426714" w:rsidRDefault="00426714" w:rsidP="00426714">
      <w:pPr>
        <w:pStyle w:val="Els-body-text"/>
      </w:pPr>
      <w:r w:rsidRPr="00426714">
        <w:t>N</w:t>
      </w:r>
      <w:r w:rsidR="00351773">
        <w:tab/>
        <w:t>:</w:t>
      </w:r>
      <w:r w:rsidR="00541A6C">
        <w:t xml:space="preserve"> </w:t>
      </w:r>
      <w:r w:rsidRPr="00426714">
        <w:t>total number of individuals.</w:t>
      </w:r>
    </w:p>
    <w:p w14:paraId="5A1A0CA7" w14:textId="63BECDFF" w:rsidR="00426714" w:rsidRDefault="00426714" w:rsidP="00426714">
      <w:pPr>
        <w:pStyle w:val="Els-body-text"/>
      </w:pPr>
      <w:r w:rsidRPr="00426714">
        <w:t>The diversity</w:t>
      </w:r>
      <w:r>
        <w:t xml:space="preserve"> categories are classified as follows: H′ ≤ 1.0 (low), 1.0 &lt; H′ ≤ 3.0 (moderate), and H′ &gt; 3.0 (high).</w:t>
      </w:r>
    </w:p>
    <w:p w14:paraId="34644487" w14:textId="77777777" w:rsidR="00426714" w:rsidRDefault="00426714" w:rsidP="00426714">
      <w:pPr>
        <w:pStyle w:val="Els-3rdorder-head"/>
      </w:pPr>
      <w:r>
        <w:t>Species Evenness Index</w:t>
      </w:r>
    </w:p>
    <w:p w14:paraId="2B867DC7" w14:textId="6A2DBFC3" w:rsidR="008B6FA5" w:rsidRDefault="00426714" w:rsidP="00426714">
      <w:pPr>
        <w:pStyle w:val="Els-body-text"/>
        <w:spacing w:after="240"/>
      </w:pPr>
      <w:r>
        <w:t xml:space="preserve">Species evenness measures </w:t>
      </w:r>
      <w:r w:rsidR="006A5274">
        <w:t>the uniformity of the distribution of individuals</w:t>
      </w:r>
      <w:r>
        <w:t xml:space="preserve"> among species within a community. High evenness indicates that species have relatively similar abundances, whereas low evenness suggests that one or a few species dominate the community. Therefore, the evenness index provides complementary information to species diversity by describing the balance of species composition [19]. The species evenness index (E) is determined using the formula:</w:t>
      </w:r>
    </w:p>
    <w:p w14:paraId="04A03D35" w14:textId="4C8D62E9" w:rsidR="008B6FA5" w:rsidRDefault="00426714" w:rsidP="00426714">
      <w:pPr>
        <w:spacing w:after="240"/>
        <w:jc w:val="right"/>
      </w:pPr>
      <m:oMath>
        <m:r>
          <m:rPr>
            <m:sty m:val="p"/>
          </m:rPr>
          <w:rPr>
            <w:rFonts w:ascii="Cambria Math" w:hAnsi="Cambria Math" w:cstheme="majorBidi"/>
          </w:rPr>
          <m:t>E=</m:t>
        </m:r>
        <m:f>
          <m:fPr>
            <m:ctrlPr>
              <w:rPr>
                <w:rFonts w:ascii="Cambria Math" w:hAnsi="Cambria Math" w:cstheme="majorBidi"/>
              </w:rPr>
            </m:ctrlPr>
          </m:fPr>
          <m:num>
            <m:r>
              <m:rPr>
                <m:sty m:val="p"/>
              </m:rPr>
              <w:rPr>
                <w:rFonts w:ascii="Cambria Math" w:hAnsi="Cambria Math" w:cstheme="majorBidi"/>
              </w:rPr>
              <m:t>H'</m:t>
            </m:r>
          </m:num>
          <m:den>
            <m:func>
              <m:funcPr>
                <m:ctrlPr>
                  <w:rPr>
                    <w:rFonts w:ascii="Cambria Math" w:hAnsi="Cambria Math" w:cstheme="majorBidi"/>
                  </w:rPr>
                </m:ctrlPr>
              </m:funcPr>
              <m:fName>
                <m:r>
                  <m:rPr>
                    <m:sty m:val="p"/>
                  </m:rPr>
                  <w:rPr>
                    <w:rFonts w:ascii="Cambria Math" w:hAnsi="Cambria Math" w:cstheme="majorBidi"/>
                  </w:rPr>
                  <m:t>ln</m:t>
                </m:r>
              </m:fName>
              <m:e>
                <m:r>
                  <m:rPr>
                    <m:sty m:val="p"/>
                  </m:rPr>
                  <w:rPr>
                    <w:rFonts w:ascii="Cambria Math" w:hAnsi="Cambria Math" w:cstheme="majorBidi"/>
                  </w:rPr>
                  <m:t>(S)</m:t>
                </m:r>
              </m:e>
            </m:func>
          </m:den>
        </m:f>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(10)</w:t>
      </w:r>
    </w:p>
    <w:p w14:paraId="2FF32B5C" w14:textId="77777777" w:rsidR="00426714" w:rsidRPr="00426714" w:rsidRDefault="00426714" w:rsidP="00426714">
      <w:pPr>
        <w:pStyle w:val="Els-body-text"/>
      </w:pPr>
      <w:r w:rsidRPr="00426714">
        <w:t>where:</w:t>
      </w:r>
    </w:p>
    <w:p w14:paraId="1ED33D2B" w14:textId="6BA66F87" w:rsidR="00426714" w:rsidRPr="00426714" w:rsidRDefault="00426714" w:rsidP="00426714">
      <w:pPr>
        <w:pStyle w:val="Els-body-text"/>
      </w:pPr>
      <w:r w:rsidRPr="00426714">
        <w:t>E</w:t>
      </w:r>
      <w:r w:rsidR="002A09D2">
        <w:tab/>
        <w:t>:</w:t>
      </w:r>
      <w:r w:rsidRPr="00426714">
        <w:t xml:space="preserve"> species evenness index,</w:t>
      </w:r>
    </w:p>
    <w:p w14:paraId="28DE5ECF" w14:textId="188E3B09" w:rsidR="00426714" w:rsidRPr="00426714" w:rsidRDefault="00426714" w:rsidP="00426714">
      <w:pPr>
        <w:pStyle w:val="Els-body-text"/>
      </w:pPr>
      <w:r w:rsidRPr="00426714">
        <w:t>H’</w:t>
      </w:r>
      <w:r w:rsidR="002A09D2">
        <w:tab/>
        <w:t>:</w:t>
      </w:r>
      <w:r w:rsidRPr="00426714">
        <w:t xml:space="preserve"> species diversity index, and</w:t>
      </w:r>
    </w:p>
    <w:p w14:paraId="75E7E9E9" w14:textId="57912EA8" w:rsidR="00426714" w:rsidRPr="00426714" w:rsidRDefault="00426714" w:rsidP="00426714">
      <w:pPr>
        <w:pStyle w:val="Els-body-text"/>
      </w:pPr>
      <w:r w:rsidRPr="00426714">
        <w:t>S</w:t>
      </w:r>
      <w:r w:rsidR="002A09D2">
        <w:tab/>
        <w:t xml:space="preserve">: </w:t>
      </w:r>
      <w:r w:rsidRPr="00426714">
        <w:t>number of species.</w:t>
      </w:r>
    </w:p>
    <w:p w14:paraId="71F0A697" w14:textId="5D05911F" w:rsidR="008B6FA5" w:rsidRDefault="00426714" w:rsidP="00426714">
      <w:pPr>
        <w:pStyle w:val="Els-body-text"/>
        <w:spacing w:after="240"/>
      </w:pPr>
      <w:r w:rsidRPr="00426714">
        <w:t>The criteria are as follows: E ≤ 0.4 (low), 0.4 &lt; E ≤ 0.6 (moderate), and E &gt; 0.6 (high).</w:t>
      </w:r>
    </w:p>
    <w:p w14:paraId="43552391" w14:textId="3FC091F5" w:rsidR="00BE4E07" w:rsidRPr="00BE4E07" w:rsidRDefault="00BE4E07" w:rsidP="00BE4E07">
      <w:pPr>
        <w:pStyle w:val="Els-1storder-head"/>
      </w:pPr>
      <w:r w:rsidRPr="00BE4E07">
        <w:t xml:space="preserve">Results and Discussion </w:t>
      </w:r>
    </w:p>
    <w:p w14:paraId="34424200" w14:textId="4B0162F7" w:rsidR="00BE4E07" w:rsidRPr="00BE4E07" w:rsidRDefault="00426714" w:rsidP="00BE4E07">
      <w:pPr>
        <w:pStyle w:val="Els-2ndorder-head"/>
        <w:spacing w:after="0"/>
      </w:pPr>
      <w:r w:rsidRPr="00426714">
        <w:t>Biophysical Conditions</w:t>
      </w:r>
      <w:r w:rsidR="00BE4E07" w:rsidRPr="00BE4E07">
        <w:t xml:space="preserve"> </w:t>
      </w:r>
    </w:p>
    <w:p w14:paraId="474B4A80" w14:textId="7A31A9CD" w:rsidR="00426714" w:rsidRPr="00426714" w:rsidRDefault="00426714" w:rsidP="00426714">
      <w:pPr>
        <w:pStyle w:val="Els-body-text"/>
        <w:spacing w:after="240"/>
        <w:rPr>
          <w:rFonts w:eastAsiaTheme="minorHAnsi"/>
          <w:szCs w:val="22"/>
          <w:lang w:val="en-ID"/>
        </w:rPr>
      </w:pPr>
      <w:r w:rsidRPr="00426714">
        <w:rPr>
          <w:rFonts w:eastAsiaTheme="minorHAnsi"/>
          <w:szCs w:val="22"/>
          <w:lang w:val="en-ID"/>
        </w:rPr>
        <w:t xml:space="preserve">Batam Island </w:t>
      </w:r>
      <w:r w:rsidR="006A5274">
        <w:rPr>
          <w:rFonts w:eastAsiaTheme="minorHAnsi"/>
          <w:szCs w:val="22"/>
          <w:lang w:val="en-ID"/>
        </w:rPr>
        <w:t>lies near the equator (approximately 1° N</w:t>
      </w:r>
      <w:r w:rsidRPr="00426714">
        <w:rPr>
          <w:rFonts w:eastAsiaTheme="minorHAnsi"/>
          <w:szCs w:val="22"/>
          <w:lang w:val="en-ID"/>
        </w:rPr>
        <w:t xml:space="preserve">) and has a humid tropical climate that supports the development of lowland tropical rainforests and their associated biodiversity. According to [22], the city experiences warm temperatures </w:t>
      </w:r>
      <w:r w:rsidR="006A5274">
        <w:rPr>
          <w:rFonts w:eastAsiaTheme="minorHAnsi"/>
          <w:szCs w:val="22"/>
          <w:lang w:val="en-ID"/>
        </w:rPr>
        <w:t>year-round, with high humidity and abundant annual rainfall, creating favorable</w:t>
      </w:r>
      <w:r w:rsidRPr="00426714">
        <w:rPr>
          <w:rFonts w:eastAsiaTheme="minorHAnsi"/>
          <w:szCs w:val="22"/>
          <w:lang w:val="en-ID"/>
        </w:rPr>
        <w:t xml:space="preserve"> conditions for tropical forest vegetation. The average annual air temperature ranges from 24–35 °C, relative humidity ranges from 73–96%, and annual rainfall is approximately 2,600 mm. </w:t>
      </w:r>
    </w:p>
    <w:p w14:paraId="2E75DB5B" w14:textId="2A2F3B2E" w:rsidR="00426714" w:rsidRPr="00426714" w:rsidRDefault="00426714" w:rsidP="00426714">
      <w:pPr>
        <w:pStyle w:val="Els-body-text"/>
        <w:spacing w:after="240"/>
        <w:rPr>
          <w:rFonts w:eastAsiaTheme="minorHAnsi"/>
          <w:szCs w:val="22"/>
          <w:lang w:val="en-ID"/>
        </w:rPr>
      </w:pPr>
      <w:r w:rsidRPr="00426714">
        <w:rPr>
          <w:rFonts w:eastAsiaTheme="minorHAnsi"/>
          <w:szCs w:val="22"/>
          <w:lang w:val="en-ID"/>
        </w:rPr>
        <w:t xml:space="preserve">Although Batam receives abundant solar radiation </w:t>
      </w:r>
      <w:r w:rsidR="006A5274">
        <w:rPr>
          <w:rFonts w:eastAsiaTheme="minorHAnsi"/>
          <w:szCs w:val="22"/>
          <w:lang w:val="en-ID"/>
        </w:rPr>
        <w:t>due to its equatorial location, the relatively low light intensity recorded in the study area was primarily due to</w:t>
      </w:r>
      <w:r w:rsidRPr="00426714">
        <w:rPr>
          <w:rFonts w:eastAsiaTheme="minorHAnsi"/>
          <w:szCs w:val="22"/>
          <w:lang w:val="en-ID"/>
        </w:rPr>
        <w:t xml:space="preserve"> the dense, multi-layered forest canopy, which reduced light penetration to the forest floor. Such shaded conditions are characteristic of intact lowland tropical forests and are generally favorable for the regeneration of many Dipterocarpaceae species during their early growth stages</w:t>
      </w:r>
      <w:r>
        <w:rPr>
          <w:rFonts w:eastAsiaTheme="minorHAnsi"/>
          <w:szCs w:val="22"/>
          <w:lang w:val="en-ID"/>
        </w:rPr>
        <w:t>.</w:t>
      </w:r>
    </w:p>
    <w:p w14:paraId="7A6CF724" w14:textId="2FC6FE48" w:rsidR="00426714" w:rsidRPr="00426714" w:rsidRDefault="00426714" w:rsidP="00426714">
      <w:pPr>
        <w:pStyle w:val="Els-body-text"/>
        <w:spacing w:after="240"/>
        <w:rPr>
          <w:rFonts w:eastAsiaTheme="minorHAnsi"/>
          <w:szCs w:val="22"/>
          <w:lang w:val="en-ID"/>
        </w:rPr>
      </w:pPr>
      <w:r w:rsidRPr="00426714">
        <w:rPr>
          <w:rFonts w:eastAsiaTheme="minorHAnsi"/>
          <w:szCs w:val="22"/>
          <w:lang w:val="en-ID"/>
        </w:rPr>
        <w:t xml:space="preserve">According to [22], the average monthly air temperature in 2024 ranged from 27.0 to 28.9°C, while the average relative humidity ranged from 79.0% to 86.6%. </w:t>
      </w:r>
      <w:r w:rsidR="006A5274">
        <w:rPr>
          <w:rFonts w:eastAsiaTheme="minorHAnsi"/>
          <w:szCs w:val="22"/>
          <w:lang w:val="en-ID"/>
        </w:rPr>
        <w:t>Microclimatic factors, including canopy cover, topography, and the timing of field measurements, influence temperature and humidity at the study site</w:t>
      </w:r>
      <w:r w:rsidRPr="00426714">
        <w:rPr>
          <w:rFonts w:eastAsiaTheme="minorHAnsi"/>
          <w:szCs w:val="22"/>
          <w:lang w:val="en-ID"/>
        </w:rPr>
        <w:t>. Favorable environmental conditions support the growth and regeneration of Dipterocarpaceae. High air humidity is a characteristic feature of lowland tropical forests and plays a vital role in maintaining the microclimate and biodiversity.</w:t>
      </w:r>
    </w:p>
    <w:p w14:paraId="41520C0D" w14:textId="6BD4982F" w:rsidR="00426714" w:rsidRPr="00426714" w:rsidRDefault="00426714" w:rsidP="00426714">
      <w:pPr>
        <w:pStyle w:val="Els-body-text"/>
        <w:spacing w:after="240"/>
        <w:rPr>
          <w:rFonts w:eastAsiaTheme="minorHAnsi"/>
          <w:szCs w:val="22"/>
          <w:lang w:val="en-ID"/>
        </w:rPr>
      </w:pPr>
      <w:r w:rsidRPr="00426714">
        <w:rPr>
          <w:rFonts w:eastAsiaTheme="minorHAnsi"/>
          <w:szCs w:val="22"/>
          <w:lang w:val="en-ID"/>
        </w:rPr>
        <w:t>The soil pH in the Sungai Harapan Protection Forest is 4.3, indicating highly acidic conditions; this aligns with the general soil characteristics of Batam Island, wh</w:t>
      </w:r>
      <w:r w:rsidR="006A5274">
        <w:rPr>
          <w:rFonts w:eastAsiaTheme="minorHAnsi"/>
          <w:szCs w:val="22"/>
          <w:lang w:val="en-ID"/>
        </w:rPr>
        <w:t>ere Ultisols dominate, with pH below 5 due to leaching processes driven by rainfall in a wet tropical climate</w:t>
      </w:r>
      <w:r w:rsidRPr="00426714">
        <w:rPr>
          <w:rFonts w:eastAsiaTheme="minorHAnsi"/>
          <w:szCs w:val="22"/>
          <w:lang w:val="en-ID"/>
        </w:rPr>
        <w:t>.</w:t>
      </w:r>
      <w:r w:rsidR="006A5274">
        <w:rPr>
          <w:rFonts w:eastAsiaTheme="minorHAnsi"/>
          <w:szCs w:val="22"/>
          <w:lang w:val="en-ID"/>
        </w:rPr>
        <w:t xml:space="preserve"> </w:t>
      </w:r>
      <w:r w:rsidRPr="00426714">
        <w:rPr>
          <w:rFonts w:eastAsiaTheme="minorHAnsi"/>
          <w:szCs w:val="22"/>
          <w:lang w:val="en-ID"/>
        </w:rPr>
        <w:t>Acidic soils are common in tropical lowland forests</w:t>
      </w:r>
      <w:r w:rsidR="006A5274">
        <w:rPr>
          <w:rFonts w:eastAsiaTheme="minorHAnsi"/>
          <w:szCs w:val="22"/>
          <w:lang w:val="en-ID"/>
        </w:rPr>
        <w:t>. They</w:t>
      </w:r>
      <w:r w:rsidRPr="00426714">
        <w:rPr>
          <w:rFonts w:eastAsiaTheme="minorHAnsi"/>
          <w:szCs w:val="22"/>
          <w:lang w:val="en-ID"/>
        </w:rPr>
        <w:t xml:space="preserve"> are generally suitable for many native tree species, including members of the Dipterocarpaceae, which have adapted to nutrient-poor and acidic environments [23]</w:t>
      </w:r>
      <w:r w:rsidR="00A84C1C">
        <w:rPr>
          <w:rFonts w:eastAsiaTheme="minorHAnsi"/>
          <w:szCs w:val="22"/>
          <w:lang w:val="en-ID"/>
        </w:rPr>
        <w:t>.</w:t>
      </w:r>
    </w:p>
    <w:p w14:paraId="03A51ED3" w14:textId="4AABFEAE" w:rsidR="00426714" w:rsidRPr="00426714" w:rsidRDefault="00426714" w:rsidP="00426714">
      <w:pPr>
        <w:pStyle w:val="Els-2ndorder-head"/>
        <w:spacing w:after="0"/>
      </w:pPr>
      <w:r w:rsidRPr="00426714">
        <w:t>Identification of Dipterocarpaceae Species</w:t>
      </w:r>
    </w:p>
    <w:p w14:paraId="09D1DE2A" w14:textId="70EB4F20" w:rsidR="00426714" w:rsidRPr="00426714" w:rsidRDefault="00426714" w:rsidP="00426714">
      <w:pPr>
        <w:pStyle w:val="Els-body-text"/>
        <w:spacing w:after="240"/>
        <w:rPr>
          <w:rFonts w:eastAsiaTheme="minorHAnsi"/>
          <w:szCs w:val="22"/>
          <w:lang w:val="en-ID"/>
        </w:rPr>
      </w:pPr>
      <w:r w:rsidRPr="00426714">
        <w:rPr>
          <w:rFonts w:eastAsiaTheme="minorHAnsi"/>
          <w:szCs w:val="22"/>
          <w:lang w:val="en-ID"/>
        </w:rPr>
        <w:t xml:space="preserve">Based on the results of the study conducted in the Sungai Harapan Protected Forest, Special Block of the Batam Arboretum, Riau Islands Province, a total of 20 species belonging to the Dipterocarpaceae family were identified from 44 observation plots. </w:t>
      </w:r>
      <w:r w:rsidR="006A5274">
        <w:rPr>
          <w:rFonts w:eastAsiaTheme="minorHAnsi"/>
          <w:szCs w:val="22"/>
          <w:lang w:val="en-ID"/>
        </w:rPr>
        <w:t>A total of 590 individuals were recorded across six genera:</w:t>
      </w:r>
      <w:r w:rsidRPr="00426714">
        <w:rPr>
          <w:rFonts w:eastAsiaTheme="minorHAnsi"/>
          <w:szCs w:val="22"/>
          <w:lang w:val="en-ID"/>
        </w:rPr>
        <w:t xml:space="preserve"> </w:t>
      </w:r>
      <w:r w:rsidRPr="00426714">
        <w:rPr>
          <w:rFonts w:eastAsiaTheme="minorHAnsi"/>
          <w:i/>
          <w:iCs/>
          <w:szCs w:val="22"/>
          <w:lang w:val="en-ID"/>
        </w:rPr>
        <w:t>Cotylelobium, Dipterocarpus, Dryobalanops, Hopea, Shorea</w:t>
      </w:r>
      <w:r w:rsidRPr="00426714">
        <w:rPr>
          <w:rFonts w:eastAsiaTheme="minorHAnsi"/>
          <w:szCs w:val="22"/>
          <w:lang w:val="en-ID"/>
        </w:rPr>
        <w:t xml:space="preserve">, and </w:t>
      </w:r>
      <w:r w:rsidRPr="00426714">
        <w:rPr>
          <w:rFonts w:eastAsiaTheme="minorHAnsi"/>
          <w:i/>
          <w:iCs/>
          <w:szCs w:val="22"/>
          <w:lang w:val="en-ID"/>
        </w:rPr>
        <w:t>Vatica</w:t>
      </w:r>
      <w:r w:rsidRPr="00426714">
        <w:rPr>
          <w:rFonts w:eastAsiaTheme="minorHAnsi"/>
          <w:szCs w:val="22"/>
          <w:lang w:val="en-ID"/>
        </w:rPr>
        <w:t>. The plant species belonging to the Dipterocarpaceae family were presented in Table 1.</w:t>
      </w:r>
    </w:p>
    <w:p w14:paraId="63EE29F8" w14:textId="77777777" w:rsidR="006A5274" w:rsidRDefault="006A5274">
      <w:r>
        <w:br w:type="page"/>
      </w:r>
    </w:p>
    <w:p w14:paraId="7643E359" w14:textId="0E4764AE" w:rsidR="00260581" w:rsidRDefault="00426714" w:rsidP="006A5274">
      <w:pPr>
        <w:jc w:val="center"/>
      </w:pPr>
      <w:r w:rsidRPr="00426714">
        <w:lastRenderedPageBreak/>
        <w:t>Table 1. Plant species of the Dipterocarpaceae family in the Sungai Harapan Protected Forest, Special Block</w:t>
      </w:r>
      <w:r w:rsidR="00AF3D5D">
        <w:t xml:space="preserve"> </w:t>
      </w:r>
      <w:r w:rsidRPr="00426714">
        <w:t>of the Batam Arboretum, Riau Islands Province.</w:t>
      </w:r>
    </w:p>
    <w:tbl>
      <w:tblPr>
        <w:tblW w:w="5000" w:type="pct"/>
        <w:tblBorders>
          <w:top w:val="single" w:sz="4" w:space="0" w:color="auto"/>
        </w:tblBorders>
        <w:tblLayout w:type="fixed"/>
        <w:tblLook w:val="04A0" w:firstRow="1" w:lastRow="0" w:firstColumn="1" w:lastColumn="0" w:noHBand="0" w:noVBand="1"/>
      </w:tblPr>
      <w:tblGrid>
        <w:gridCol w:w="567"/>
        <w:gridCol w:w="1563"/>
        <w:gridCol w:w="1236"/>
        <w:gridCol w:w="3013"/>
        <w:gridCol w:w="993"/>
        <w:gridCol w:w="850"/>
        <w:gridCol w:w="709"/>
        <w:gridCol w:w="707"/>
      </w:tblGrid>
      <w:tr w:rsidR="006A5274" w:rsidRPr="006A5274" w14:paraId="2C313BE0" w14:textId="77777777" w:rsidTr="006A5274">
        <w:trPr>
          <w:trHeight w:val="91"/>
        </w:trPr>
        <w:tc>
          <w:tcPr>
            <w:tcW w:w="294" w:type="pct"/>
            <w:tcBorders>
              <w:top w:val="single" w:sz="4" w:space="0" w:color="auto"/>
              <w:bottom w:val="single" w:sz="4" w:space="0" w:color="auto"/>
            </w:tcBorders>
            <w:noWrap/>
            <w:vAlign w:val="center"/>
            <w:hideMark/>
          </w:tcPr>
          <w:p w14:paraId="18A532C3"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No</w:t>
            </w:r>
          </w:p>
        </w:tc>
        <w:tc>
          <w:tcPr>
            <w:tcW w:w="811" w:type="pct"/>
            <w:tcBorders>
              <w:top w:val="single" w:sz="4" w:space="0" w:color="auto"/>
              <w:bottom w:val="single" w:sz="4" w:space="0" w:color="auto"/>
            </w:tcBorders>
            <w:noWrap/>
            <w:vAlign w:val="center"/>
            <w:hideMark/>
          </w:tcPr>
          <w:p w14:paraId="149922E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Local Name</w:t>
            </w:r>
          </w:p>
        </w:tc>
        <w:tc>
          <w:tcPr>
            <w:tcW w:w="641" w:type="pct"/>
            <w:tcBorders>
              <w:top w:val="single" w:sz="4" w:space="0" w:color="auto"/>
              <w:bottom w:val="single" w:sz="4" w:space="0" w:color="auto"/>
            </w:tcBorders>
            <w:noWrap/>
            <w:vAlign w:val="center"/>
            <w:hideMark/>
          </w:tcPr>
          <w:p w14:paraId="51DCDD5F"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Genus</w:t>
            </w:r>
          </w:p>
        </w:tc>
        <w:tc>
          <w:tcPr>
            <w:tcW w:w="1563" w:type="pct"/>
            <w:tcBorders>
              <w:top w:val="single" w:sz="4" w:space="0" w:color="auto"/>
              <w:bottom w:val="single" w:sz="4" w:space="0" w:color="auto"/>
            </w:tcBorders>
            <w:noWrap/>
            <w:vAlign w:val="center"/>
            <w:hideMark/>
          </w:tcPr>
          <w:p w14:paraId="21255D1B" w14:textId="4EE7D2C2" w:rsidR="002574F9" w:rsidRPr="006A5274" w:rsidRDefault="002574F9" w:rsidP="006A5274">
            <w:pPr>
              <w:pStyle w:val="NoSpacing"/>
              <w:tabs>
                <w:tab w:val="center" w:pos="1647"/>
                <w:tab w:val="right" w:pos="3295"/>
              </w:tabs>
              <w:jc w:val="center"/>
              <w:rPr>
                <w:rFonts w:ascii="Times New Roman" w:hAnsi="Times New Roman" w:cs="Times New Roman"/>
                <w:sz w:val="20"/>
                <w:szCs w:val="20"/>
              </w:rPr>
            </w:pPr>
            <w:r w:rsidRPr="006A5274">
              <w:rPr>
                <w:rStyle w:val="Strong"/>
                <w:rFonts w:ascii="Times New Roman" w:hAnsi="Times New Roman" w:cs="Times New Roman"/>
                <w:b w:val="0"/>
                <w:bCs w:val="0"/>
                <w:sz w:val="20"/>
                <w:szCs w:val="20"/>
              </w:rPr>
              <w:t>Scientific Name</w:t>
            </w:r>
          </w:p>
        </w:tc>
        <w:tc>
          <w:tcPr>
            <w:tcW w:w="515" w:type="pct"/>
            <w:tcBorders>
              <w:top w:val="single" w:sz="4" w:space="0" w:color="auto"/>
              <w:bottom w:val="single" w:sz="4" w:space="0" w:color="auto"/>
            </w:tcBorders>
            <w:noWrap/>
            <w:vAlign w:val="center"/>
            <w:hideMark/>
          </w:tcPr>
          <w:p w14:paraId="3171954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Seeding</w:t>
            </w:r>
          </w:p>
        </w:tc>
        <w:tc>
          <w:tcPr>
            <w:tcW w:w="441" w:type="pct"/>
            <w:tcBorders>
              <w:top w:val="single" w:sz="4" w:space="0" w:color="auto"/>
              <w:bottom w:val="single" w:sz="4" w:space="0" w:color="auto"/>
            </w:tcBorders>
            <w:noWrap/>
            <w:vAlign w:val="center"/>
            <w:hideMark/>
          </w:tcPr>
          <w:p w14:paraId="6D7773D1"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Sapling</w:t>
            </w:r>
          </w:p>
        </w:tc>
        <w:tc>
          <w:tcPr>
            <w:tcW w:w="368" w:type="pct"/>
            <w:tcBorders>
              <w:top w:val="single" w:sz="4" w:space="0" w:color="auto"/>
              <w:bottom w:val="single" w:sz="4" w:space="0" w:color="auto"/>
            </w:tcBorders>
            <w:noWrap/>
            <w:vAlign w:val="center"/>
            <w:hideMark/>
          </w:tcPr>
          <w:p w14:paraId="1AA3024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Pole</w:t>
            </w:r>
          </w:p>
        </w:tc>
        <w:tc>
          <w:tcPr>
            <w:tcW w:w="367" w:type="pct"/>
            <w:tcBorders>
              <w:top w:val="single" w:sz="4" w:space="0" w:color="auto"/>
              <w:bottom w:val="single" w:sz="4" w:space="0" w:color="auto"/>
            </w:tcBorders>
            <w:noWrap/>
            <w:vAlign w:val="center"/>
            <w:hideMark/>
          </w:tcPr>
          <w:p w14:paraId="7A9B204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Tree</w:t>
            </w:r>
          </w:p>
        </w:tc>
      </w:tr>
      <w:tr w:rsidR="006A5274" w:rsidRPr="006A5274" w14:paraId="7B00F72C" w14:textId="77777777" w:rsidTr="006A5274">
        <w:trPr>
          <w:trHeight w:val="91"/>
        </w:trPr>
        <w:tc>
          <w:tcPr>
            <w:tcW w:w="294" w:type="pct"/>
            <w:tcBorders>
              <w:top w:val="single" w:sz="4" w:space="0" w:color="auto"/>
            </w:tcBorders>
            <w:noWrap/>
            <w:vAlign w:val="center"/>
            <w:hideMark/>
          </w:tcPr>
          <w:p w14:paraId="77D2C75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811" w:type="pct"/>
            <w:tcBorders>
              <w:top w:val="single" w:sz="4" w:space="0" w:color="auto"/>
            </w:tcBorders>
            <w:noWrap/>
            <w:vAlign w:val="center"/>
            <w:hideMark/>
          </w:tcPr>
          <w:p w14:paraId="6C35E23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Merawan</w:t>
            </w:r>
          </w:p>
        </w:tc>
        <w:tc>
          <w:tcPr>
            <w:tcW w:w="641" w:type="pct"/>
            <w:tcBorders>
              <w:top w:val="single" w:sz="4" w:space="0" w:color="auto"/>
            </w:tcBorders>
            <w:noWrap/>
            <w:vAlign w:val="center"/>
            <w:hideMark/>
          </w:tcPr>
          <w:p w14:paraId="6A3540C2"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Hopea</w:t>
            </w:r>
          </w:p>
        </w:tc>
        <w:tc>
          <w:tcPr>
            <w:tcW w:w="1563" w:type="pct"/>
            <w:tcBorders>
              <w:top w:val="single" w:sz="4" w:space="0" w:color="auto"/>
            </w:tcBorders>
            <w:noWrap/>
            <w:vAlign w:val="center"/>
            <w:hideMark/>
          </w:tcPr>
          <w:p w14:paraId="18024365" w14:textId="2E8D2A6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Hopea beccariana </w:t>
            </w:r>
            <w:r w:rsidRPr="006A5274">
              <w:rPr>
                <w:rFonts w:ascii="Times New Roman" w:hAnsi="Times New Roman" w:cs="Times New Roman"/>
                <w:iCs/>
                <w:sz w:val="20"/>
                <w:szCs w:val="20"/>
              </w:rPr>
              <w:t>Burck</w:t>
            </w:r>
          </w:p>
        </w:tc>
        <w:tc>
          <w:tcPr>
            <w:tcW w:w="515" w:type="pct"/>
            <w:tcBorders>
              <w:top w:val="single" w:sz="4" w:space="0" w:color="auto"/>
            </w:tcBorders>
            <w:noWrap/>
            <w:vAlign w:val="center"/>
            <w:hideMark/>
          </w:tcPr>
          <w:p w14:paraId="29E0494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74</w:t>
            </w:r>
          </w:p>
        </w:tc>
        <w:tc>
          <w:tcPr>
            <w:tcW w:w="441" w:type="pct"/>
            <w:tcBorders>
              <w:top w:val="single" w:sz="4" w:space="0" w:color="auto"/>
            </w:tcBorders>
            <w:noWrap/>
            <w:vAlign w:val="center"/>
            <w:hideMark/>
          </w:tcPr>
          <w:p w14:paraId="1C678BC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53</w:t>
            </w:r>
          </w:p>
        </w:tc>
        <w:tc>
          <w:tcPr>
            <w:tcW w:w="368" w:type="pct"/>
            <w:tcBorders>
              <w:top w:val="single" w:sz="4" w:space="0" w:color="auto"/>
            </w:tcBorders>
            <w:noWrap/>
            <w:vAlign w:val="center"/>
            <w:hideMark/>
          </w:tcPr>
          <w:p w14:paraId="4B6ADFA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16</w:t>
            </w:r>
          </w:p>
        </w:tc>
        <w:tc>
          <w:tcPr>
            <w:tcW w:w="367" w:type="pct"/>
            <w:tcBorders>
              <w:top w:val="single" w:sz="4" w:space="0" w:color="auto"/>
            </w:tcBorders>
            <w:noWrap/>
            <w:vAlign w:val="center"/>
            <w:hideMark/>
          </w:tcPr>
          <w:p w14:paraId="5E12317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19</w:t>
            </w:r>
          </w:p>
        </w:tc>
      </w:tr>
      <w:tr w:rsidR="006A5274" w:rsidRPr="006A5274" w14:paraId="1D7F9A8D" w14:textId="77777777" w:rsidTr="006A5274">
        <w:trPr>
          <w:trHeight w:val="101"/>
        </w:trPr>
        <w:tc>
          <w:tcPr>
            <w:tcW w:w="294" w:type="pct"/>
            <w:noWrap/>
            <w:vAlign w:val="center"/>
            <w:hideMark/>
          </w:tcPr>
          <w:p w14:paraId="6F175BB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w:t>
            </w:r>
          </w:p>
        </w:tc>
        <w:tc>
          <w:tcPr>
            <w:tcW w:w="811" w:type="pct"/>
            <w:noWrap/>
            <w:vAlign w:val="center"/>
            <w:hideMark/>
          </w:tcPr>
          <w:p w14:paraId="6E26DB7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Seraya</w:t>
            </w:r>
          </w:p>
        </w:tc>
        <w:tc>
          <w:tcPr>
            <w:tcW w:w="641" w:type="pct"/>
            <w:noWrap/>
            <w:vAlign w:val="center"/>
            <w:hideMark/>
          </w:tcPr>
          <w:p w14:paraId="63BD550A" w14:textId="78A087A8"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71745C7D"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curtisii </w:t>
            </w:r>
            <w:r w:rsidRPr="006A5274">
              <w:rPr>
                <w:rFonts w:ascii="Times New Roman" w:hAnsi="Times New Roman" w:cs="Times New Roman"/>
                <w:iCs/>
                <w:sz w:val="20"/>
                <w:szCs w:val="20"/>
              </w:rPr>
              <w:t>Dyer ex King</w:t>
            </w:r>
          </w:p>
        </w:tc>
        <w:tc>
          <w:tcPr>
            <w:tcW w:w="515" w:type="pct"/>
            <w:noWrap/>
            <w:vAlign w:val="center"/>
            <w:hideMark/>
          </w:tcPr>
          <w:p w14:paraId="180D0AE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20</w:t>
            </w:r>
          </w:p>
        </w:tc>
        <w:tc>
          <w:tcPr>
            <w:tcW w:w="441" w:type="pct"/>
            <w:noWrap/>
            <w:vAlign w:val="center"/>
            <w:hideMark/>
          </w:tcPr>
          <w:p w14:paraId="4768953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36</w:t>
            </w:r>
          </w:p>
        </w:tc>
        <w:tc>
          <w:tcPr>
            <w:tcW w:w="368" w:type="pct"/>
            <w:noWrap/>
            <w:vAlign w:val="center"/>
            <w:hideMark/>
          </w:tcPr>
          <w:p w14:paraId="1232240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26</w:t>
            </w:r>
          </w:p>
        </w:tc>
        <w:tc>
          <w:tcPr>
            <w:tcW w:w="367" w:type="pct"/>
            <w:noWrap/>
            <w:vAlign w:val="center"/>
            <w:hideMark/>
          </w:tcPr>
          <w:p w14:paraId="289CAC0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36</w:t>
            </w:r>
          </w:p>
        </w:tc>
      </w:tr>
      <w:tr w:rsidR="006A5274" w:rsidRPr="006A5274" w14:paraId="04A610B4" w14:textId="77777777" w:rsidTr="006A5274">
        <w:trPr>
          <w:trHeight w:val="101"/>
        </w:trPr>
        <w:tc>
          <w:tcPr>
            <w:tcW w:w="294" w:type="pct"/>
            <w:noWrap/>
            <w:vAlign w:val="center"/>
            <w:hideMark/>
          </w:tcPr>
          <w:p w14:paraId="4358D43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3</w:t>
            </w:r>
          </w:p>
        </w:tc>
        <w:tc>
          <w:tcPr>
            <w:tcW w:w="811" w:type="pct"/>
            <w:noWrap/>
            <w:vAlign w:val="center"/>
            <w:hideMark/>
          </w:tcPr>
          <w:p w14:paraId="41D0FB6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Resak Rawa</w:t>
            </w:r>
          </w:p>
        </w:tc>
        <w:tc>
          <w:tcPr>
            <w:tcW w:w="641" w:type="pct"/>
            <w:noWrap/>
            <w:vAlign w:val="center"/>
            <w:hideMark/>
          </w:tcPr>
          <w:p w14:paraId="094A2ABD"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Vatica</w:t>
            </w:r>
          </w:p>
        </w:tc>
        <w:tc>
          <w:tcPr>
            <w:tcW w:w="1563" w:type="pct"/>
            <w:noWrap/>
            <w:vAlign w:val="center"/>
            <w:hideMark/>
          </w:tcPr>
          <w:p w14:paraId="7D565997" w14:textId="41813ADB"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Vatica pauciflora </w:t>
            </w:r>
            <w:r w:rsidRPr="006A5274">
              <w:rPr>
                <w:rFonts w:ascii="Times New Roman" w:hAnsi="Times New Roman" w:cs="Times New Roman"/>
                <w:iCs/>
                <w:sz w:val="20"/>
                <w:szCs w:val="20"/>
              </w:rPr>
              <w:t>(Korth.) Blume</w:t>
            </w:r>
          </w:p>
        </w:tc>
        <w:tc>
          <w:tcPr>
            <w:tcW w:w="515" w:type="pct"/>
            <w:noWrap/>
            <w:vAlign w:val="center"/>
            <w:hideMark/>
          </w:tcPr>
          <w:p w14:paraId="74B7FA4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59</w:t>
            </w:r>
          </w:p>
        </w:tc>
        <w:tc>
          <w:tcPr>
            <w:tcW w:w="441" w:type="pct"/>
            <w:noWrap/>
            <w:vAlign w:val="center"/>
            <w:hideMark/>
          </w:tcPr>
          <w:p w14:paraId="510867F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24</w:t>
            </w:r>
          </w:p>
        </w:tc>
        <w:tc>
          <w:tcPr>
            <w:tcW w:w="368" w:type="pct"/>
            <w:noWrap/>
            <w:vAlign w:val="center"/>
            <w:hideMark/>
          </w:tcPr>
          <w:p w14:paraId="4A88DB7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5</w:t>
            </w:r>
          </w:p>
        </w:tc>
        <w:tc>
          <w:tcPr>
            <w:tcW w:w="367" w:type="pct"/>
            <w:noWrap/>
            <w:vAlign w:val="center"/>
            <w:hideMark/>
          </w:tcPr>
          <w:p w14:paraId="7F589701"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11</w:t>
            </w:r>
          </w:p>
        </w:tc>
      </w:tr>
      <w:tr w:rsidR="006A5274" w:rsidRPr="006A5274" w14:paraId="6EE26E4E" w14:textId="77777777" w:rsidTr="006A5274">
        <w:trPr>
          <w:trHeight w:val="101"/>
        </w:trPr>
        <w:tc>
          <w:tcPr>
            <w:tcW w:w="294" w:type="pct"/>
            <w:noWrap/>
            <w:vAlign w:val="center"/>
            <w:hideMark/>
          </w:tcPr>
          <w:p w14:paraId="71DB8F4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4</w:t>
            </w:r>
          </w:p>
        </w:tc>
        <w:tc>
          <w:tcPr>
            <w:tcW w:w="811" w:type="pct"/>
            <w:noWrap/>
            <w:vAlign w:val="center"/>
            <w:hideMark/>
          </w:tcPr>
          <w:p w14:paraId="0F15428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Merawan</w:t>
            </w:r>
          </w:p>
        </w:tc>
        <w:tc>
          <w:tcPr>
            <w:tcW w:w="641" w:type="pct"/>
            <w:noWrap/>
            <w:vAlign w:val="center"/>
            <w:hideMark/>
          </w:tcPr>
          <w:p w14:paraId="3DA53E48"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Hopea</w:t>
            </w:r>
          </w:p>
        </w:tc>
        <w:tc>
          <w:tcPr>
            <w:tcW w:w="1563" w:type="pct"/>
            <w:noWrap/>
            <w:vAlign w:val="center"/>
            <w:hideMark/>
          </w:tcPr>
          <w:p w14:paraId="07532DD2"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Hopea mengarawan </w:t>
            </w:r>
            <w:r w:rsidRPr="006A5274">
              <w:rPr>
                <w:rFonts w:ascii="Times New Roman" w:hAnsi="Times New Roman" w:cs="Times New Roman"/>
                <w:iCs/>
                <w:sz w:val="20"/>
                <w:szCs w:val="20"/>
              </w:rPr>
              <w:t>Miq</w:t>
            </w:r>
          </w:p>
        </w:tc>
        <w:tc>
          <w:tcPr>
            <w:tcW w:w="515" w:type="pct"/>
            <w:noWrap/>
            <w:vAlign w:val="center"/>
            <w:hideMark/>
          </w:tcPr>
          <w:p w14:paraId="1D1186B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14</w:t>
            </w:r>
          </w:p>
        </w:tc>
        <w:tc>
          <w:tcPr>
            <w:tcW w:w="441" w:type="pct"/>
            <w:noWrap/>
            <w:vAlign w:val="center"/>
            <w:hideMark/>
          </w:tcPr>
          <w:p w14:paraId="4469E183"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21</w:t>
            </w:r>
          </w:p>
        </w:tc>
        <w:tc>
          <w:tcPr>
            <w:tcW w:w="368" w:type="pct"/>
            <w:noWrap/>
            <w:vAlign w:val="center"/>
            <w:hideMark/>
          </w:tcPr>
          <w:p w14:paraId="2CFD3FE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6</w:t>
            </w:r>
          </w:p>
        </w:tc>
        <w:tc>
          <w:tcPr>
            <w:tcW w:w="367" w:type="pct"/>
            <w:noWrap/>
            <w:vAlign w:val="center"/>
            <w:hideMark/>
          </w:tcPr>
          <w:p w14:paraId="0A8A18B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8</w:t>
            </w:r>
          </w:p>
        </w:tc>
      </w:tr>
      <w:tr w:rsidR="006A5274" w:rsidRPr="006A5274" w14:paraId="49DAC921" w14:textId="77777777" w:rsidTr="006A5274">
        <w:trPr>
          <w:trHeight w:val="69"/>
        </w:trPr>
        <w:tc>
          <w:tcPr>
            <w:tcW w:w="294" w:type="pct"/>
            <w:noWrap/>
            <w:vAlign w:val="center"/>
            <w:hideMark/>
          </w:tcPr>
          <w:p w14:paraId="7FAE9A0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5</w:t>
            </w:r>
          </w:p>
        </w:tc>
        <w:tc>
          <w:tcPr>
            <w:tcW w:w="811" w:type="pct"/>
            <w:noWrap/>
            <w:vAlign w:val="center"/>
            <w:hideMark/>
          </w:tcPr>
          <w:p w14:paraId="6857C36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Keruin Chogan</w:t>
            </w:r>
          </w:p>
        </w:tc>
        <w:tc>
          <w:tcPr>
            <w:tcW w:w="641" w:type="pct"/>
            <w:noWrap/>
            <w:vAlign w:val="center"/>
            <w:hideMark/>
          </w:tcPr>
          <w:p w14:paraId="09F01D90"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Dipterocarpus</w:t>
            </w:r>
          </w:p>
        </w:tc>
        <w:tc>
          <w:tcPr>
            <w:tcW w:w="1563" w:type="pct"/>
            <w:noWrap/>
            <w:vAlign w:val="center"/>
            <w:hideMark/>
          </w:tcPr>
          <w:p w14:paraId="5BAADA4E" w14:textId="15BBC318"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Dipterocarpus rigidus </w:t>
            </w:r>
            <w:r w:rsidRPr="006A5274">
              <w:rPr>
                <w:rFonts w:ascii="Times New Roman" w:hAnsi="Times New Roman" w:cs="Times New Roman"/>
                <w:iCs/>
                <w:sz w:val="20"/>
                <w:szCs w:val="20"/>
              </w:rPr>
              <w:t>Ridl</w:t>
            </w:r>
            <w:r w:rsidRPr="006A5274">
              <w:rPr>
                <w:rFonts w:ascii="Times New Roman" w:hAnsi="Times New Roman" w:cs="Times New Roman"/>
                <w:i/>
                <w:iCs/>
                <w:sz w:val="20"/>
                <w:szCs w:val="20"/>
              </w:rPr>
              <w:t>.</w:t>
            </w:r>
          </w:p>
        </w:tc>
        <w:tc>
          <w:tcPr>
            <w:tcW w:w="515" w:type="pct"/>
            <w:noWrap/>
            <w:vAlign w:val="center"/>
            <w:hideMark/>
          </w:tcPr>
          <w:p w14:paraId="4485B6A1"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23</w:t>
            </w:r>
          </w:p>
        </w:tc>
        <w:tc>
          <w:tcPr>
            <w:tcW w:w="441" w:type="pct"/>
            <w:noWrap/>
            <w:vAlign w:val="center"/>
            <w:hideMark/>
          </w:tcPr>
          <w:p w14:paraId="58BC259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10</w:t>
            </w:r>
          </w:p>
        </w:tc>
        <w:tc>
          <w:tcPr>
            <w:tcW w:w="368" w:type="pct"/>
            <w:noWrap/>
            <w:vAlign w:val="center"/>
            <w:hideMark/>
          </w:tcPr>
          <w:p w14:paraId="44FAE94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7</w:t>
            </w:r>
          </w:p>
        </w:tc>
        <w:tc>
          <w:tcPr>
            <w:tcW w:w="367" w:type="pct"/>
            <w:noWrap/>
            <w:vAlign w:val="center"/>
            <w:hideMark/>
          </w:tcPr>
          <w:p w14:paraId="68D4E17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12</w:t>
            </w:r>
          </w:p>
        </w:tc>
      </w:tr>
      <w:tr w:rsidR="006A5274" w:rsidRPr="006A5274" w14:paraId="1A998FAB" w14:textId="77777777" w:rsidTr="006A5274">
        <w:trPr>
          <w:trHeight w:val="101"/>
        </w:trPr>
        <w:tc>
          <w:tcPr>
            <w:tcW w:w="294" w:type="pct"/>
            <w:noWrap/>
            <w:vAlign w:val="center"/>
            <w:hideMark/>
          </w:tcPr>
          <w:p w14:paraId="6962DF9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6</w:t>
            </w:r>
          </w:p>
        </w:tc>
        <w:tc>
          <w:tcPr>
            <w:tcW w:w="811" w:type="pct"/>
            <w:noWrap/>
            <w:vAlign w:val="center"/>
            <w:hideMark/>
          </w:tcPr>
          <w:p w14:paraId="11286D3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Resak Daun Runcing</w:t>
            </w:r>
          </w:p>
        </w:tc>
        <w:tc>
          <w:tcPr>
            <w:tcW w:w="641" w:type="pct"/>
            <w:noWrap/>
            <w:vAlign w:val="center"/>
            <w:hideMark/>
          </w:tcPr>
          <w:p w14:paraId="56F283C9"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Vatica</w:t>
            </w:r>
          </w:p>
        </w:tc>
        <w:tc>
          <w:tcPr>
            <w:tcW w:w="1563" w:type="pct"/>
            <w:noWrap/>
            <w:vAlign w:val="center"/>
            <w:hideMark/>
          </w:tcPr>
          <w:p w14:paraId="30B6A7B0"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Vatica cuspidata </w:t>
            </w:r>
            <w:r w:rsidRPr="006A5274">
              <w:rPr>
                <w:rFonts w:ascii="Times New Roman" w:hAnsi="Times New Roman" w:cs="Times New Roman"/>
                <w:iCs/>
                <w:sz w:val="20"/>
                <w:szCs w:val="20"/>
              </w:rPr>
              <w:t>Ridl</w:t>
            </w:r>
          </w:p>
        </w:tc>
        <w:tc>
          <w:tcPr>
            <w:tcW w:w="515" w:type="pct"/>
            <w:noWrap/>
            <w:vAlign w:val="center"/>
            <w:hideMark/>
          </w:tcPr>
          <w:p w14:paraId="6A4BD37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20</w:t>
            </w:r>
          </w:p>
        </w:tc>
        <w:tc>
          <w:tcPr>
            <w:tcW w:w="441" w:type="pct"/>
            <w:noWrap/>
            <w:vAlign w:val="center"/>
            <w:hideMark/>
          </w:tcPr>
          <w:p w14:paraId="79FC75D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10</w:t>
            </w:r>
          </w:p>
        </w:tc>
        <w:tc>
          <w:tcPr>
            <w:tcW w:w="368" w:type="pct"/>
            <w:noWrap/>
            <w:vAlign w:val="center"/>
            <w:hideMark/>
          </w:tcPr>
          <w:p w14:paraId="65418B6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3</w:t>
            </w:r>
          </w:p>
        </w:tc>
        <w:tc>
          <w:tcPr>
            <w:tcW w:w="367" w:type="pct"/>
            <w:noWrap/>
            <w:vAlign w:val="center"/>
            <w:hideMark/>
          </w:tcPr>
          <w:p w14:paraId="1E8CCCC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8</w:t>
            </w:r>
          </w:p>
        </w:tc>
      </w:tr>
      <w:tr w:rsidR="006A5274" w:rsidRPr="006A5274" w14:paraId="29EE434C" w14:textId="77777777" w:rsidTr="006A5274">
        <w:trPr>
          <w:trHeight w:val="101"/>
        </w:trPr>
        <w:tc>
          <w:tcPr>
            <w:tcW w:w="294" w:type="pct"/>
            <w:noWrap/>
            <w:vAlign w:val="center"/>
            <w:hideMark/>
          </w:tcPr>
          <w:p w14:paraId="102959A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7</w:t>
            </w:r>
          </w:p>
        </w:tc>
        <w:tc>
          <w:tcPr>
            <w:tcW w:w="811" w:type="pct"/>
            <w:noWrap/>
            <w:vAlign w:val="center"/>
            <w:hideMark/>
          </w:tcPr>
          <w:p w14:paraId="1D604C6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Keruing Buah</w:t>
            </w:r>
          </w:p>
        </w:tc>
        <w:tc>
          <w:tcPr>
            <w:tcW w:w="641" w:type="pct"/>
            <w:noWrap/>
            <w:vAlign w:val="center"/>
            <w:hideMark/>
          </w:tcPr>
          <w:p w14:paraId="1260003C"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Dipterocarpus</w:t>
            </w:r>
          </w:p>
        </w:tc>
        <w:tc>
          <w:tcPr>
            <w:tcW w:w="1563" w:type="pct"/>
            <w:noWrap/>
            <w:vAlign w:val="center"/>
            <w:hideMark/>
          </w:tcPr>
          <w:p w14:paraId="07F5B818" w14:textId="5F3839E5"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Dipterocarpus elongatus </w:t>
            </w:r>
            <w:r w:rsidRPr="006A5274">
              <w:rPr>
                <w:rFonts w:ascii="Times New Roman" w:hAnsi="Times New Roman" w:cs="Times New Roman"/>
                <w:iCs/>
                <w:sz w:val="20"/>
                <w:szCs w:val="20"/>
              </w:rPr>
              <w:t>Korth.</w:t>
            </w:r>
          </w:p>
        </w:tc>
        <w:tc>
          <w:tcPr>
            <w:tcW w:w="515" w:type="pct"/>
            <w:noWrap/>
            <w:vAlign w:val="center"/>
            <w:hideMark/>
          </w:tcPr>
          <w:p w14:paraId="78A4305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7</w:t>
            </w:r>
          </w:p>
        </w:tc>
        <w:tc>
          <w:tcPr>
            <w:tcW w:w="441" w:type="pct"/>
            <w:noWrap/>
            <w:vAlign w:val="center"/>
            <w:hideMark/>
          </w:tcPr>
          <w:p w14:paraId="4DDF0EE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4</w:t>
            </w:r>
          </w:p>
        </w:tc>
        <w:tc>
          <w:tcPr>
            <w:tcW w:w="368" w:type="pct"/>
            <w:noWrap/>
            <w:vAlign w:val="center"/>
            <w:hideMark/>
          </w:tcPr>
          <w:p w14:paraId="014AE46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w:t>
            </w:r>
          </w:p>
        </w:tc>
        <w:tc>
          <w:tcPr>
            <w:tcW w:w="367" w:type="pct"/>
            <w:noWrap/>
            <w:vAlign w:val="center"/>
            <w:hideMark/>
          </w:tcPr>
          <w:p w14:paraId="3129C16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9</w:t>
            </w:r>
          </w:p>
        </w:tc>
      </w:tr>
      <w:tr w:rsidR="006A5274" w:rsidRPr="006A5274" w14:paraId="126D5DE1" w14:textId="77777777" w:rsidTr="006A5274">
        <w:trPr>
          <w:trHeight w:val="101"/>
        </w:trPr>
        <w:tc>
          <w:tcPr>
            <w:tcW w:w="294" w:type="pct"/>
            <w:noWrap/>
            <w:vAlign w:val="center"/>
            <w:hideMark/>
          </w:tcPr>
          <w:p w14:paraId="349891A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8</w:t>
            </w:r>
          </w:p>
        </w:tc>
        <w:tc>
          <w:tcPr>
            <w:tcW w:w="811" w:type="pct"/>
            <w:noWrap/>
            <w:vAlign w:val="center"/>
            <w:hideMark/>
          </w:tcPr>
          <w:p w14:paraId="5C18064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Balau</w:t>
            </w:r>
          </w:p>
        </w:tc>
        <w:tc>
          <w:tcPr>
            <w:tcW w:w="641" w:type="pct"/>
            <w:noWrap/>
            <w:vAlign w:val="center"/>
            <w:hideMark/>
          </w:tcPr>
          <w:p w14:paraId="20B67F45" w14:textId="0B11FFA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143D3A35" w14:textId="4C896E01"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falcifera </w:t>
            </w:r>
            <w:r w:rsidRPr="006A5274">
              <w:rPr>
                <w:rFonts w:ascii="Times New Roman" w:hAnsi="Times New Roman" w:cs="Times New Roman"/>
                <w:iCs/>
                <w:sz w:val="20"/>
                <w:szCs w:val="20"/>
              </w:rPr>
              <w:t>Dyer ex Brandis</w:t>
            </w:r>
          </w:p>
        </w:tc>
        <w:tc>
          <w:tcPr>
            <w:tcW w:w="515" w:type="pct"/>
            <w:noWrap/>
            <w:vAlign w:val="center"/>
            <w:hideMark/>
          </w:tcPr>
          <w:p w14:paraId="0BEEC951"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5</w:t>
            </w:r>
          </w:p>
        </w:tc>
        <w:tc>
          <w:tcPr>
            <w:tcW w:w="441" w:type="pct"/>
            <w:noWrap/>
            <w:vAlign w:val="center"/>
            <w:hideMark/>
          </w:tcPr>
          <w:p w14:paraId="62ADD58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w:t>
            </w:r>
          </w:p>
        </w:tc>
        <w:tc>
          <w:tcPr>
            <w:tcW w:w="368" w:type="pct"/>
            <w:noWrap/>
            <w:vAlign w:val="center"/>
            <w:hideMark/>
          </w:tcPr>
          <w:p w14:paraId="41E5A995"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22A7978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4</w:t>
            </w:r>
          </w:p>
        </w:tc>
      </w:tr>
      <w:tr w:rsidR="006A5274" w:rsidRPr="006A5274" w14:paraId="065C2FEF" w14:textId="77777777" w:rsidTr="006A5274">
        <w:trPr>
          <w:trHeight w:val="101"/>
        </w:trPr>
        <w:tc>
          <w:tcPr>
            <w:tcW w:w="294" w:type="pct"/>
            <w:noWrap/>
            <w:vAlign w:val="center"/>
            <w:hideMark/>
          </w:tcPr>
          <w:p w14:paraId="08B744E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9</w:t>
            </w:r>
          </w:p>
        </w:tc>
        <w:tc>
          <w:tcPr>
            <w:tcW w:w="811" w:type="pct"/>
            <w:noWrap/>
            <w:vAlign w:val="center"/>
            <w:hideMark/>
          </w:tcPr>
          <w:p w14:paraId="79DBF6CF"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Tembaga</w:t>
            </w:r>
          </w:p>
        </w:tc>
        <w:tc>
          <w:tcPr>
            <w:tcW w:w="641" w:type="pct"/>
            <w:noWrap/>
            <w:vAlign w:val="center"/>
            <w:hideMark/>
          </w:tcPr>
          <w:p w14:paraId="069864AE" w14:textId="4F4DE904"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1F5B15E5" w14:textId="7AF11152"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leprosula </w:t>
            </w:r>
            <w:r w:rsidRPr="006A5274">
              <w:rPr>
                <w:rFonts w:ascii="Times New Roman" w:hAnsi="Times New Roman" w:cs="Times New Roman"/>
                <w:iCs/>
                <w:sz w:val="20"/>
                <w:szCs w:val="20"/>
              </w:rPr>
              <w:t>Miq</w:t>
            </w:r>
          </w:p>
        </w:tc>
        <w:tc>
          <w:tcPr>
            <w:tcW w:w="515" w:type="pct"/>
            <w:noWrap/>
            <w:vAlign w:val="center"/>
            <w:hideMark/>
          </w:tcPr>
          <w:p w14:paraId="0463ABE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441" w:type="pct"/>
            <w:noWrap/>
            <w:vAlign w:val="center"/>
            <w:hideMark/>
          </w:tcPr>
          <w:p w14:paraId="7EC5F80E"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368" w:type="pct"/>
            <w:noWrap/>
            <w:vAlign w:val="center"/>
            <w:hideMark/>
          </w:tcPr>
          <w:p w14:paraId="0BCA341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8</w:t>
            </w:r>
          </w:p>
        </w:tc>
        <w:tc>
          <w:tcPr>
            <w:tcW w:w="367" w:type="pct"/>
            <w:noWrap/>
            <w:vAlign w:val="center"/>
            <w:hideMark/>
          </w:tcPr>
          <w:p w14:paraId="673C10C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430E21FD" w14:textId="77777777" w:rsidTr="006A5274">
        <w:trPr>
          <w:trHeight w:val="101"/>
        </w:trPr>
        <w:tc>
          <w:tcPr>
            <w:tcW w:w="294" w:type="pct"/>
            <w:noWrap/>
            <w:vAlign w:val="center"/>
            <w:hideMark/>
          </w:tcPr>
          <w:p w14:paraId="19A7998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10</w:t>
            </w:r>
          </w:p>
        </w:tc>
        <w:tc>
          <w:tcPr>
            <w:tcW w:w="811" w:type="pct"/>
            <w:noWrap/>
            <w:vAlign w:val="center"/>
            <w:hideMark/>
          </w:tcPr>
          <w:p w14:paraId="4DBA72C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Batu</w:t>
            </w:r>
          </w:p>
        </w:tc>
        <w:tc>
          <w:tcPr>
            <w:tcW w:w="641" w:type="pct"/>
            <w:noWrap/>
            <w:vAlign w:val="center"/>
            <w:hideMark/>
          </w:tcPr>
          <w:p w14:paraId="04D19A0E" w14:textId="0D3272F3"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780FBE2F"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johorensis </w:t>
            </w:r>
            <w:r w:rsidRPr="006A5274">
              <w:rPr>
                <w:rFonts w:ascii="Times New Roman" w:hAnsi="Times New Roman" w:cs="Times New Roman"/>
                <w:iCs/>
                <w:sz w:val="20"/>
                <w:szCs w:val="20"/>
              </w:rPr>
              <w:t>Foxw</w:t>
            </w:r>
          </w:p>
        </w:tc>
        <w:tc>
          <w:tcPr>
            <w:tcW w:w="515" w:type="pct"/>
            <w:noWrap/>
            <w:vAlign w:val="center"/>
            <w:hideMark/>
          </w:tcPr>
          <w:p w14:paraId="0F000CA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441" w:type="pct"/>
            <w:noWrap/>
            <w:vAlign w:val="center"/>
            <w:hideMark/>
          </w:tcPr>
          <w:p w14:paraId="0FF16A9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w:t>
            </w:r>
          </w:p>
        </w:tc>
        <w:tc>
          <w:tcPr>
            <w:tcW w:w="368" w:type="pct"/>
            <w:noWrap/>
            <w:vAlign w:val="center"/>
            <w:hideMark/>
          </w:tcPr>
          <w:p w14:paraId="3B91C345"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4</w:t>
            </w:r>
          </w:p>
        </w:tc>
        <w:tc>
          <w:tcPr>
            <w:tcW w:w="367" w:type="pct"/>
            <w:noWrap/>
            <w:vAlign w:val="center"/>
            <w:hideMark/>
          </w:tcPr>
          <w:p w14:paraId="61FD074E"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7DA4B309" w14:textId="77777777" w:rsidTr="006A5274">
        <w:trPr>
          <w:trHeight w:val="101"/>
        </w:trPr>
        <w:tc>
          <w:tcPr>
            <w:tcW w:w="294" w:type="pct"/>
            <w:noWrap/>
            <w:vAlign w:val="center"/>
            <w:hideMark/>
          </w:tcPr>
          <w:p w14:paraId="103ABAE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11</w:t>
            </w:r>
          </w:p>
        </w:tc>
        <w:tc>
          <w:tcPr>
            <w:tcW w:w="811" w:type="pct"/>
            <w:noWrap/>
            <w:vAlign w:val="center"/>
            <w:hideMark/>
          </w:tcPr>
          <w:p w14:paraId="38212183"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Giam</w:t>
            </w:r>
          </w:p>
        </w:tc>
        <w:tc>
          <w:tcPr>
            <w:tcW w:w="641" w:type="pct"/>
            <w:noWrap/>
            <w:vAlign w:val="center"/>
            <w:hideMark/>
          </w:tcPr>
          <w:p w14:paraId="6A0F6026" w14:textId="63708701"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Cotylelobium</w:t>
            </w:r>
          </w:p>
        </w:tc>
        <w:tc>
          <w:tcPr>
            <w:tcW w:w="1563" w:type="pct"/>
            <w:noWrap/>
            <w:vAlign w:val="center"/>
            <w:hideMark/>
          </w:tcPr>
          <w:p w14:paraId="6AE88F88" w14:textId="6EF80A13"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Cotylelobium melanoxylon </w:t>
            </w:r>
            <w:r w:rsidRPr="006A5274">
              <w:rPr>
                <w:rFonts w:ascii="Times New Roman" w:hAnsi="Times New Roman" w:cs="Times New Roman"/>
                <w:iCs/>
                <w:sz w:val="20"/>
                <w:szCs w:val="20"/>
              </w:rPr>
              <w:t>(Hook.f.) Pierre</w:t>
            </w:r>
          </w:p>
        </w:tc>
        <w:tc>
          <w:tcPr>
            <w:tcW w:w="515" w:type="pct"/>
            <w:noWrap/>
            <w:vAlign w:val="center"/>
            <w:hideMark/>
          </w:tcPr>
          <w:p w14:paraId="76D74CA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441" w:type="pct"/>
            <w:noWrap/>
            <w:vAlign w:val="center"/>
            <w:hideMark/>
          </w:tcPr>
          <w:p w14:paraId="3CA50421"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3</w:t>
            </w:r>
          </w:p>
        </w:tc>
        <w:tc>
          <w:tcPr>
            <w:tcW w:w="368" w:type="pct"/>
            <w:noWrap/>
            <w:vAlign w:val="center"/>
            <w:hideMark/>
          </w:tcPr>
          <w:p w14:paraId="219C2EE5"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7FBFD6E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77AAA960" w14:textId="77777777" w:rsidTr="006A5274">
        <w:trPr>
          <w:trHeight w:val="101"/>
        </w:trPr>
        <w:tc>
          <w:tcPr>
            <w:tcW w:w="294" w:type="pct"/>
            <w:noWrap/>
            <w:vAlign w:val="center"/>
            <w:hideMark/>
          </w:tcPr>
          <w:p w14:paraId="32754CFE"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12</w:t>
            </w:r>
          </w:p>
        </w:tc>
        <w:tc>
          <w:tcPr>
            <w:tcW w:w="811" w:type="pct"/>
            <w:noWrap/>
            <w:vAlign w:val="center"/>
            <w:hideMark/>
          </w:tcPr>
          <w:p w14:paraId="59177554"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Kapur</w:t>
            </w:r>
          </w:p>
        </w:tc>
        <w:tc>
          <w:tcPr>
            <w:tcW w:w="641" w:type="pct"/>
            <w:noWrap/>
            <w:vAlign w:val="center"/>
            <w:hideMark/>
          </w:tcPr>
          <w:p w14:paraId="73FCF52C"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Dryobalanops</w:t>
            </w:r>
          </w:p>
        </w:tc>
        <w:tc>
          <w:tcPr>
            <w:tcW w:w="1563" w:type="pct"/>
            <w:noWrap/>
            <w:vAlign w:val="center"/>
            <w:hideMark/>
          </w:tcPr>
          <w:p w14:paraId="4A569B22"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Dryobalanops aromatica</w:t>
            </w:r>
            <w:r w:rsidRPr="006A5274">
              <w:rPr>
                <w:rFonts w:ascii="Times New Roman" w:hAnsi="Times New Roman" w:cs="Times New Roman"/>
                <w:sz w:val="20"/>
                <w:szCs w:val="20"/>
              </w:rPr>
              <w:t xml:space="preserve"> </w:t>
            </w:r>
            <w:r w:rsidRPr="006A5274">
              <w:rPr>
                <w:rFonts w:ascii="Times New Roman" w:hAnsi="Times New Roman" w:cs="Times New Roman"/>
                <w:iCs/>
                <w:sz w:val="20"/>
                <w:szCs w:val="20"/>
              </w:rPr>
              <w:t>C.F.Gaertn.</w:t>
            </w:r>
          </w:p>
        </w:tc>
        <w:tc>
          <w:tcPr>
            <w:tcW w:w="515" w:type="pct"/>
            <w:noWrap/>
            <w:vAlign w:val="center"/>
            <w:hideMark/>
          </w:tcPr>
          <w:p w14:paraId="778A54D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441" w:type="pct"/>
            <w:noWrap/>
            <w:vAlign w:val="center"/>
            <w:hideMark/>
          </w:tcPr>
          <w:p w14:paraId="10E4E49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3</w:t>
            </w:r>
          </w:p>
        </w:tc>
        <w:tc>
          <w:tcPr>
            <w:tcW w:w="368" w:type="pct"/>
            <w:noWrap/>
            <w:vAlign w:val="center"/>
            <w:hideMark/>
          </w:tcPr>
          <w:p w14:paraId="382248B3"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164BDEAF"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102C2976" w14:textId="77777777" w:rsidTr="006A5274">
        <w:trPr>
          <w:trHeight w:val="101"/>
        </w:trPr>
        <w:tc>
          <w:tcPr>
            <w:tcW w:w="294" w:type="pct"/>
            <w:tcBorders>
              <w:bottom w:val="nil"/>
            </w:tcBorders>
            <w:noWrap/>
            <w:vAlign w:val="center"/>
            <w:hideMark/>
          </w:tcPr>
          <w:p w14:paraId="6930C4D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13</w:t>
            </w:r>
          </w:p>
        </w:tc>
        <w:tc>
          <w:tcPr>
            <w:tcW w:w="811" w:type="pct"/>
            <w:tcBorders>
              <w:bottom w:val="nil"/>
            </w:tcBorders>
            <w:noWrap/>
            <w:vAlign w:val="center"/>
            <w:hideMark/>
          </w:tcPr>
          <w:p w14:paraId="0EFCDE8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Bunga</w:t>
            </w:r>
          </w:p>
        </w:tc>
        <w:tc>
          <w:tcPr>
            <w:tcW w:w="641" w:type="pct"/>
            <w:tcBorders>
              <w:bottom w:val="nil"/>
            </w:tcBorders>
            <w:noWrap/>
            <w:vAlign w:val="center"/>
            <w:hideMark/>
          </w:tcPr>
          <w:p w14:paraId="15F09F48" w14:textId="3CA77D81"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tcBorders>
              <w:bottom w:val="nil"/>
            </w:tcBorders>
            <w:noWrap/>
            <w:vAlign w:val="center"/>
            <w:hideMark/>
          </w:tcPr>
          <w:p w14:paraId="4B1B4B45" w14:textId="0086886C"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Shorea ovalis</w:t>
            </w:r>
            <w:r w:rsidRPr="006A5274">
              <w:rPr>
                <w:rFonts w:ascii="Times New Roman" w:hAnsi="Times New Roman" w:cs="Times New Roman"/>
                <w:iCs/>
                <w:sz w:val="20"/>
                <w:szCs w:val="20"/>
              </w:rPr>
              <w:t xml:space="preserve"> Korth</w:t>
            </w:r>
          </w:p>
        </w:tc>
        <w:tc>
          <w:tcPr>
            <w:tcW w:w="515" w:type="pct"/>
            <w:tcBorders>
              <w:bottom w:val="nil"/>
            </w:tcBorders>
            <w:noWrap/>
            <w:vAlign w:val="center"/>
            <w:hideMark/>
          </w:tcPr>
          <w:p w14:paraId="7123862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441" w:type="pct"/>
            <w:tcBorders>
              <w:bottom w:val="nil"/>
            </w:tcBorders>
            <w:noWrap/>
            <w:vAlign w:val="center"/>
            <w:hideMark/>
          </w:tcPr>
          <w:p w14:paraId="7ADEA28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368" w:type="pct"/>
            <w:tcBorders>
              <w:bottom w:val="nil"/>
            </w:tcBorders>
            <w:noWrap/>
            <w:vAlign w:val="center"/>
            <w:hideMark/>
          </w:tcPr>
          <w:p w14:paraId="4A0E8BA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tcBorders>
              <w:bottom w:val="nil"/>
            </w:tcBorders>
            <w:noWrap/>
            <w:vAlign w:val="center"/>
            <w:hideMark/>
          </w:tcPr>
          <w:p w14:paraId="2B0F974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w:t>
            </w:r>
          </w:p>
        </w:tc>
      </w:tr>
      <w:tr w:rsidR="006A5274" w:rsidRPr="006A5274" w14:paraId="4AB2D941" w14:textId="77777777" w:rsidTr="006A5274">
        <w:trPr>
          <w:trHeight w:val="101"/>
        </w:trPr>
        <w:tc>
          <w:tcPr>
            <w:tcW w:w="294" w:type="pct"/>
            <w:tcBorders>
              <w:top w:val="nil"/>
              <w:bottom w:val="nil"/>
            </w:tcBorders>
            <w:noWrap/>
            <w:vAlign w:val="center"/>
            <w:hideMark/>
          </w:tcPr>
          <w:p w14:paraId="093F481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14</w:t>
            </w:r>
          </w:p>
        </w:tc>
        <w:tc>
          <w:tcPr>
            <w:tcW w:w="811" w:type="pct"/>
            <w:tcBorders>
              <w:top w:val="nil"/>
              <w:bottom w:val="nil"/>
            </w:tcBorders>
            <w:noWrap/>
            <w:vAlign w:val="center"/>
            <w:hideMark/>
          </w:tcPr>
          <w:p w14:paraId="5BBD8B5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Keruing</w:t>
            </w:r>
          </w:p>
        </w:tc>
        <w:tc>
          <w:tcPr>
            <w:tcW w:w="641" w:type="pct"/>
            <w:tcBorders>
              <w:top w:val="nil"/>
              <w:bottom w:val="nil"/>
            </w:tcBorders>
            <w:noWrap/>
            <w:vAlign w:val="center"/>
            <w:hideMark/>
          </w:tcPr>
          <w:p w14:paraId="1197ABE1"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Dipterocarpus</w:t>
            </w:r>
          </w:p>
        </w:tc>
        <w:tc>
          <w:tcPr>
            <w:tcW w:w="1563" w:type="pct"/>
            <w:tcBorders>
              <w:top w:val="nil"/>
              <w:bottom w:val="nil"/>
            </w:tcBorders>
            <w:noWrap/>
            <w:vAlign w:val="center"/>
            <w:hideMark/>
          </w:tcPr>
          <w:p w14:paraId="02A9825A"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Dipterocarpus grandiflorus </w:t>
            </w:r>
            <w:r w:rsidRPr="006A5274">
              <w:rPr>
                <w:rFonts w:ascii="Times New Roman" w:hAnsi="Times New Roman" w:cs="Times New Roman"/>
                <w:iCs/>
                <w:sz w:val="20"/>
                <w:szCs w:val="20"/>
              </w:rPr>
              <w:t>(Blanco) Blanco</w:t>
            </w:r>
          </w:p>
        </w:tc>
        <w:tc>
          <w:tcPr>
            <w:tcW w:w="515" w:type="pct"/>
            <w:tcBorders>
              <w:top w:val="nil"/>
              <w:bottom w:val="nil"/>
            </w:tcBorders>
            <w:noWrap/>
            <w:vAlign w:val="center"/>
            <w:hideMark/>
          </w:tcPr>
          <w:p w14:paraId="3BFA5F3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441" w:type="pct"/>
            <w:tcBorders>
              <w:top w:val="nil"/>
              <w:bottom w:val="nil"/>
            </w:tcBorders>
            <w:noWrap/>
            <w:vAlign w:val="center"/>
            <w:hideMark/>
          </w:tcPr>
          <w:p w14:paraId="0F243E8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368" w:type="pct"/>
            <w:tcBorders>
              <w:top w:val="nil"/>
              <w:bottom w:val="nil"/>
            </w:tcBorders>
            <w:noWrap/>
            <w:vAlign w:val="center"/>
            <w:hideMark/>
          </w:tcPr>
          <w:p w14:paraId="7C80186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tcBorders>
              <w:top w:val="nil"/>
              <w:bottom w:val="nil"/>
            </w:tcBorders>
            <w:noWrap/>
            <w:vAlign w:val="center"/>
            <w:hideMark/>
          </w:tcPr>
          <w:p w14:paraId="5934692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69BBC0AC" w14:textId="77777777" w:rsidTr="006A5274">
        <w:trPr>
          <w:trHeight w:val="101"/>
        </w:trPr>
        <w:tc>
          <w:tcPr>
            <w:tcW w:w="294" w:type="pct"/>
            <w:tcBorders>
              <w:top w:val="nil"/>
            </w:tcBorders>
            <w:noWrap/>
            <w:vAlign w:val="center"/>
            <w:hideMark/>
          </w:tcPr>
          <w:p w14:paraId="4A457585"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15</w:t>
            </w:r>
          </w:p>
        </w:tc>
        <w:tc>
          <w:tcPr>
            <w:tcW w:w="811" w:type="pct"/>
            <w:tcBorders>
              <w:top w:val="nil"/>
            </w:tcBorders>
            <w:noWrap/>
            <w:vAlign w:val="center"/>
            <w:hideMark/>
          </w:tcPr>
          <w:p w14:paraId="65BA402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Rambai</w:t>
            </w:r>
          </w:p>
        </w:tc>
        <w:tc>
          <w:tcPr>
            <w:tcW w:w="641" w:type="pct"/>
            <w:tcBorders>
              <w:top w:val="nil"/>
            </w:tcBorders>
            <w:noWrap/>
            <w:vAlign w:val="center"/>
            <w:hideMark/>
          </w:tcPr>
          <w:p w14:paraId="353C64B9" w14:textId="442C4072"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tcBorders>
              <w:top w:val="nil"/>
            </w:tcBorders>
            <w:noWrap/>
            <w:vAlign w:val="center"/>
            <w:hideMark/>
          </w:tcPr>
          <w:p w14:paraId="68F0E266"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Shorea accuminata</w:t>
            </w:r>
            <w:r w:rsidRPr="006A5274">
              <w:rPr>
                <w:rFonts w:ascii="Times New Roman" w:hAnsi="Times New Roman" w:cs="Times New Roman"/>
                <w:sz w:val="20"/>
                <w:szCs w:val="20"/>
              </w:rPr>
              <w:t xml:space="preserve"> </w:t>
            </w:r>
            <w:r w:rsidRPr="006A5274">
              <w:rPr>
                <w:rFonts w:ascii="Times New Roman" w:hAnsi="Times New Roman" w:cs="Times New Roman"/>
                <w:iCs/>
                <w:sz w:val="20"/>
                <w:szCs w:val="20"/>
              </w:rPr>
              <w:t>Dyer</w:t>
            </w:r>
          </w:p>
        </w:tc>
        <w:tc>
          <w:tcPr>
            <w:tcW w:w="515" w:type="pct"/>
            <w:tcBorders>
              <w:top w:val="nil"/>
            </w:tcBorders>
            <w:noWrap/>
            <w:vAlign w:val="center"/>
            <w:hideMark/>
          </w:tcPr>
          <w:p w14:paraId="7C2A510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441" w:type="pct"/>
            <w:tcBorders>
              <w:top w:val="nil"/>
            </w:tcBorders>
            <w:noWrap/>
            <w:vAlign w:val="center"/>
            <w:hideMark/>
          </w:tcPr>
          <w:p w14:paraId="7E742C1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8" w:type="pct"/>
            <w:tcBorders>
              <w:top w:val="nil"/>
            </w:tcBorders>
            <w:noWrap/>
            <w:vAlign w:val="center"/>
            <w:hideMark/>
          </w:tcPr>
          <w:p w14:paraId="49CBB25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tcBorders>
              <w:top w:val="nil"/>
            </w:tcBorders>
            <w:noWrap/>
            <w:vAlign w:val="center"/>
            <w:hideMark/>
          </w:tcPr>
          <w:p w14:paraId="26857A9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r>
      <w:tr w:rsidR="006A5274" w:rsidRPr="006A5274" w14:paraId="551E3740" w14:textId="77777777" w:rsidTr="006A5274">
        <w:trPr>
          <w:trHeight w:val="101"/>
        </w:trPr>
        <w:tc>
          <w:tcPr>
            <w:tcW w:w="294" w:type="pct"/>
            <w:noWrap/>
            <w:vAlign w:val="center"/>
            <w:hideMark/>
          </w:tcPr>
          <w:p w14:paraId="62DB88EF"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16</w:t>
            </w:r>
          </w:p>
        </w:tc>
        <w:tc>
          <w:tcPr>
            <w:tcW w:w="811" w:type="pct"/>
            <w:noWrap/>
            <w:vAlign w:val="center"/>
            <w:hideMark/>
          </w:tcPr>
          <w:p w14:paraId="1B211BB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Sabut</w:t>
            </w:r>
          </w:p>
        </w:tc>
        <w:tc>
          <w:tcPr>
            <w:tcW w:w="641" w:type="pct"/>
            <w:noWrap/>
            <w:vAlign w:val="center"/>
            <w:hideMark/>
          </w:tcPr>
          <w:p w14:paraId="6031A5C8" w14:textId="70B12B81"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6BB1C31E" w14:textId="77777777" w:rsidR="002574F9" w:rsidRPr="006A5274" w:rsidRDefault="002574F9" w:rsidP="006A5274">
            <w:pPr>
              <w:pStyle w:val="NoSpacing"/>
              <w:jc w:val="center"/>
              <w:rPr>
                <w:rFonts w:ascii="Times New Roman" w:hAnsi="Times New Roman" w:cs="Times New Roman"/>
                <w:iCs/>
                <w:sz w:val="20"/>
                <w:szCs w:val="20"/>
              </w:rPr>
            </w:pPr>
            <w:r w:rsidRPr="006A5274">
              <w:rPr>
                <w:rFonts w:ascii="Times New Roman" w:hAnsi="Times New Roman" w:cs="Times New Roman"/>
                <w:i/>
                <w:iCs/>
                <w:sz w:val="20"/>
                <w:szCs w:val="20"/>
              </w:rPr>
              <w:t xml:space="preserve">Shorea parvifolia </w:t>
            </w:r>
            <w:r w:rsidRPr="006A5274">
              <w:rPr>
                <w:rFonts w:ascii="Times New Roman" w:hAnsi="Times New Roman" w:cs="Times New Roman"/>
                <w:iCs/>
                <w:sz w:val="20"/>
                <w:szCs w:val="20"/>
              </w:rPr>
              <w:t>Dyer</w:t>
            </w:r>
            <w:r w:rsidRPr="006A5274">
              <w:rPr>
                <w:rFonts w:ascii="Times New Roman" w:hAnsi="Times New Roman" w:cs="Times New Roman"/>
                <w:i/>
                <w:iCs/>
                <w:sz w:val="20"/>
                <w:szCs w:val="20"/>
              </w:rPr>
              <w:t xml:space="preserve"> ssp.velutinata</w:t>
            </w:r>
            <w:r w:rsidRPr="006A5274">
              <w:rPr>
                <w:rFonts w:ascii="Times New Roman" w:hAnsi="Times New Roman" w:cs="Times New Roman"/>
                <w:iCs/>
                <w:sz w:val="20"/>
                <w:szCs w:val="20"/>
              </w:rPr>
              <w:t xml:space="preserve"> P.S.Ashton</w:t>
            </w:r>
          </w:p>
        </w:tc>
        <w:tc>
          <w:tcPr>
            <w:tcW w:w="515" w:type="pct"/>
            <w:noWrap/>
            <w:vAlign w:val="center"/>
            <w:hideMark/>
          </w:tcPr>
          <w:p w14:paraId="1D975175"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441" w:type="pct"/>
            <w:noWrap/>
            <w:vAlign w:val="center"/>
            <w:hideMark/>
          </w:tcPr>
          <w:p w14:paraId="511CBD3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8" w:type="pct"/>
            <w:noWrap/>
            <w:vAlign w:val="center"/>
            <w:hideMark/>
          </w:tcPr>
          <w:p w14:paraId="569393F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769F376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w:t>
            </w:r>
          </w:p>
        </w:tc>
      </w:tr>
      <w:tr w:rsidR="006A5274" w:rsidRPr="006A5274" w14:paraId="35092A88" w14:textId="77777777" w:rsidTr="006A5274">
        <w:trPr>
          <w:trHeight w:val="101"/>
        </w:trPr>
        <w:tc>
          <w:tcPr>
            <w:tcW w:w="294" w:type="pct"/>
            <w:noWrap/>
            <w:vAlign w:val="center"/>
            <w:hideMark/>
          </w:tcPr>
          <w:p w14:paraId="033A666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17</w:t>
            </w:r>
          </w:p>
        </w:tc>
        <w:tc>
          <w:tcPr>
            <w:tcW w:w="811" w:type="pct"/>
            <w:noWrap/>
            <w:vAlign w:val="center"/>
            <w:hideMark/>
          </w:tcPr>
          <w:p w14:paraId="727709D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Bukit</w:t>
            </w:r>
          </w:p>
        </w:tc>
        <w:tc>
          <w:tcPr>
            <w:tcW w:w="641" w:type="pct"/>
            <w:noWrap/>
            <w:vAlign w:val="center"/>
            <w:hideMark/>
          </w:tcPr>
          <w:p w14:paraId="5BC1F63E" w14:textId="57DEF43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3B1097A5" w14:textId="1F4BC1AB"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platyclados </w:t>
            </w:r>
            <w:r w:rsidRPr="006A5274">
              <w:rPr>
                <w:rFonts w:ascii="Times New Roman" w:hAnsi="Times New Roman" w:cs="Times New Roman"/>
                <w:iCs/>
                <w:sz w:val="20"/>
                <w:szCs w:val="20"/>
              </w:rPr>
              <w:t>Slooten ex Foxw</w:t>
            </w:r>
          </w:p>
        </w:tc>
        <w:tc>
          <w:tcPr>
            <w:tcW w:w="515" w:type="pct"/>
            <w:noWrap/>
            <w:vAlign w:val="center"/>
            <w:hideMark/>
          </w:tcPr>
          <w:p w14:paraId="069656B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441" w:type="pct"/>
            <w:noWrap/>
            <w:vAlign w:val="center"/>
            <w:hideMark/>
          </w:tcPr>
          <w:p w14:paraId="508A09D7"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368" w:type="pct"/>
            <w:noWrap/>
            <w:vAlign w:val="center"/>
            <w:hideMark/>
          </w:tcPr>
          <w:p w14:paraId="5AA8690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09D1146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5FB0E7BC" w14:textId="77777777" w:rsidTr="006A5274">
        <w:trPr>
          <w:trHeight w:val="101"/>
        </w:trPr>
        <w:tc>
          <w:tcPr>
            <w:tcW w:w="294" w:type="pct"/>
            <w:noWrap/>
            <w:vAlign w:val="center"/>
            <w:hideMark/>
          </w:tcPr>
          <w:p w14:paraId="3BB17F3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18</w:t>
            </w:r>
          </w:p>
        </w:tc>
        <w:tc>
          <w:tcPr>
            <w:tcW w:w="811" w:type="pct"/>
            <w:noWrap/>
            <w:vAlign w:val="center"/>
            <w:hideMark/>
          </w:tcPr>
          <w:p w14:paraId="23696833"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 Sabut</w:t>
            </w:r>
          </w:p>
        </w:tc>
        <w:tc>
          <w:tcPr>
            <w:tcW w:w="641" w:type="pct"/>
            <w:noWrap/>
            <w:vAlign w:val="center"/>
            <w:hideMark/>
          </w:tcPr>
          <w:p w14:paraId="1DCF2780" w14:textId="38516EE0"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2F2B0B1B"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parvifolia </w:t>
            </w:r>
            <w:r w:rsidRPr="006A5274">
              <w:rPr>
                <w:rFonts w:ascii="Times New Roman" w:hAnsi="Times New Roman" w:cs="Times New Roman"/>
                <w:iCs/>
                <w:sz w:val="20"/>
                <w:szCs w:val="20"/>
              </w:rPr>
              <w:t>Dyer</w:t>
            </w:r>
            <w:r w:rsidRPr="006A5274">
              <w:rPr>
                <w:rFonts w:ascii="Times New Roman" w:hAnsi="Times New Roman" w:cs="Times New Roman"/>
                <w:i/>
                <w:iCs/>
                <w:sz w:val="20"/>
                <w:szCs w:val="20"/>
              </w:rPr>
              <w:t xml:space="preserve"> ssp.parvifolia</w:t>
            </w:r>
          </w:p>
        </w:tc>
        <w:tc>
          <w:tcPr>
            <w:tcW w:w="515" w:type="pct"/>
            <w:noWrap/>
            <w:vAlign w:val="center"/>
            <w:hideMark/>
          </w:tcPr>
          <w:p w14:paraId="2155C7B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441" w:type="pct"/>
            <w:noWrap/>
            <w:vAlign w:val="center"/>
            <w:hideMark/>
          </w:tcPr>
          <w:p w14:paraId="72DBF7E5"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8" w:type="pct"/>
            <w:noWrap/>
            <w:vAlign w:val="center"/>
            <w:hideMark/>
          </w:tcPr>
          <w:p w14:paraId="7BC1F769"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5B3D74A6"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r>
      <w:tr w:rsidR="006A5274" w:rsidRPr="006A5274" w14:paraId="2BE46B7D" w14:textId="77777777" w:rsidTr="006A5274">
        <w:trPr>
          <w:trHeight w:val="101"/>
        </w:trPr>
        <w:tc>
          <w:tcPr>
            <w:tcW w:w="294" w:type="pct"/>
            <w:noWrap/>
            <w:vAlign w:val="center"/>
            <w:hideMark/>
          </w:tcPr>
          <w:p w14:paraId="20B6F29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19</w:t>
            </w:r>
          </w:p>
        </w:tc>
        <w:tc>
          <w:tcPr>
            <w:tcW w:w="811" w:type="pct"/>
            <w:noWrap/>
            <w:vAlign w:val="center"/>
            <w:hideMark/>
          </w:tcPr>
          <w:p w14:paraId="25843AEE"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Meranti</w:t>
            </w:r>
          </w:p>
        </w:tc>
        <w:tc>
          <w:tcPr>
            <w:tcW w:w="641" w:type="pct"/>
            <w:noWrap/>
            <w:vAlign w:val="center"/>
            <w:hideMark/>
          </w:tcPr>
          <w:p w14:paraId="5CD59447" w14:textId="2717523B"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Shorea</w:t>
            </w:r>
          </w:p>
        </w:tc>
        <w:tc>
          <w:tcPr>
            <w:tcW w:w="1563" w:type="pct"/>
            <w:noWrap/>
            <w:vAlign w:val="center"/>
            <w:hideMark/>
          </w:tcPr>
          <w:p w14:paraId="08A63D24"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Shorea selanica </w:t>
            </w:r>
            <w:r w:rsidRPr="006A5274">
              <w:rPr>
                <w:rFonts w:ascii="Times New Roman" w:hAnsi="Times New Roman" w:cs="Times New Roman"/>
                <w:iCs/>
                <w:sz w:val="20"/>
                <w:szCs w:val="20"/>
              </w:rPr>
              <w:t>(Valmont)</w:t>
            </w:r>
          </w:p>
        </w:tc>
        <w:tc>
          <w:tcPr>
            <w:tcW w:w="515" w:type="pct"/>
            <w:noWrap/>
            <w:vAlign w:val="center"/>
            <w:hideMark/>
          </w:tcPr>
          <w:p w14:paraId="6C843D48"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441" w:type="pct"/>
            <w:noWrap/>
            <w:vAlign w:val="center"/>
            <w:hideMark/>
          </w:tcPr>
          <w:p w14:paraId="282FDDA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8" w:type="pct"/>
            <w:noWrap/>
            <w:vAlign w:val="center"/>
            <w:hideMark/>
          </w:tcPr>
          <w:p w14:paraId="4F5647A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noWrap/>
            <w:vAlign w:val="center"/>
            <w:hideMark/>
          </w:tcPr>
          <w:p w14:paraId="3C0877B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476C370C" w14:textId="77777777" w:rsidTr="006A5274">
        <w:trPr>
          <w:trHeight w:val="101"/>
        </w:trPr>
        <w:tc>
          <w:tcPr>
            <w:tcW w:w="294" w:type="pct"/>
            <w:tcBorders>
              <w:bottom w:val="single" w:sz="4" w:space="0" w:color="auto"/>
            </w:tcBorders>
            <w:noWrap/>
            <w:vAlign w:val="center"/>
            <w:hideMark/>
          </w:tcPr>
          <w:p w14:paraId="74FC5800"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20</w:t>
            </w:r>
          </w:p>
        </w:tc>
        <w:tc>
          <w:tcPr>
            <w:tcW w:w="811" w:type="pct"/>
            <w:tcBorders>
              <w:bottom w:val="single" w:sz="4" w:space="0" w:color="auto"/>
            </w:tcBorders>
            <w:noWrap/>
            <w:vAlign w:val="center"/>
            <w:hideMark/>
          </w:tcPr>
          <w:p w14:paraId="0FC8DDAE"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Resak</w:t>
            </w:r>
          </w:p>
        </w:tc>
        <w:tc>
          <w:tcPr>
            <w:tcW w:w="641" w:type="pct"/>
            <w:tcBorders>
              <w:bottom w:val="single" w:sz="4" w:space="0" w:color="auto"/>
            </w:tcBorders>
            <w:noWrap/>
            <w:vAlign w:val="center"/>
            <w:hideMark/>
          </w:tcPr>
          <w:p w14:paraId="27ED226C" w14:textId="77777777" w:rsidR="002574F9" w:rsidRPr="006A5274" w:rsidRDefault="002574F9" w:rsidP="006A5274">
            <w:pPr>
              <w:pStyle w:val="NoSpacing"/>
              <w:jc w:val="center"/>
              <w:rPr>
                <w:rFonts w:ascii="Times New Roman" w:hAnsi="Times New Roman" w:cs="Times New Roman"/>
                <w:i/>
                <w:sz w:val="20"/>
                <w:szCs w:val="20"/>
              </w:rPr>
            </w:pPr>
            <w:r w:rsidRPr="006A5274">
              <w:rPr>
                <w:rFonts w:ascii="Times New Roman" w:hAnsi="Times New Roman" w:cs="Times New Roman"/>
                <w:i/>
                <w:sz w:val="20"/>
                <w:szCs w:val="20"/>
              </w:rPr>
              <w:t>Vatica</w:t>
            </w:r>
          </w:p>
        </w:tc>
        <w:tc>
          <w:tcPr>
            <w:tcW w:w="1563" w:type="pct"/>
            <w:tcBorders>
              <w:bottom w:val="single" w:sz="4" w:space="0" w:color="auto"/>
            </w:tcBorders>
            <w:noWrap/>
            <w:vAlign w:val="center"/>
            <w:hideMark/>
          </w:tcPr>
          <w:p w14:paraId="4F4E4447" w14:textId="77777777" w:rsidR="002574F9" w:rsidRPr="006A5274" w:rsidRDefault="002574F9" w:rsidP="006A5274">
            <w:pPr>
              <w:pStyle w:val="NoSpacing"/>
              <w:jc w:val="center"/>
              <w:rPr>
                <w:rFonts w:ascii="Times New Roman" w:hAnsi="Times New Roman" w:cs="Times New Roman"/>
                <w:i/>
                <w:iCs/>
                <w:sz w:val="20"/>
                <w:szCs w:val="20"/>
              </w:rPr>
            </w:pPr>
            <w:r w:rsidRPr="006A5274">
              <w:rPr>
                <w:rFonts w:ascii="Times New Roman" w:hAnsi="Times New Roman" w:cs="Times New Roman"/>
                <w:i/>
                <w:iCs/>
                <w:sz w:val="20"/>
                <w:szCs w:val="20"/>
              </w:rPr>
              <w:t xml:space="preserve">Vatica lowii </w:t>
            </w:r>
            <w:r w:rsidRPr="006A5274">
              <w:rPr>
                <w:rFonts w:ascii="Times New Roman" w:hAnsi="Times New Roman" w:cs="Times New Roman"/>
                <w:iCs/>
                <w:sz w:val="20"/>
                <w:szCs w:val="20"/>
              </w:rPr>
              <w:t>King</w:t>
            </w:r>
          </w:p>
        </w:tc>
        <w:tc>
          <w:tcPr>
            <w:tcW w:w="515" w:type="pct"/>
            <w:tcBorders>
              <w:bottom w:val="single" w:sz="4" w:space="0" w:color="auto"/>
            </w:tcBorders>
            <w:noWrap/>
            <w:vAlign w:val="center"/>
            <w:hideMark/>
          </w:tcPr>
          <w:p w14:paraId="089E36B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w:t>
            </w:r>
          </w:p>
        </w:tc>
        <w:tc>
          <w:tcPr>
            <w:tcW w:w="441" w:type="pct"/>
            <w:tcBorders>
              <w:bottom w:val="single" w:sz="4" w:space="0" w:color="auto"/>
            </w:tcBorders>
            <w:noWrap/>
            <w:vAlign w:val="center"/>
            <w:hideMark/>
          </w:tcPr>
          <w:p w14:paraId="38A65CBB"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8" w:type="pct"/>
            <w:tcBorders>
              <w:bottom w:val="single" w:sz="4" w:space="0" w:color="auto"/>
            </w:tcBorders>
            <w:noWrap/>
            <w:vAlign w:val="center"/>
            <w:hideMark/>
          </w:tcPr>
          <w:p w14:paraId="61403FA2"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c>
          <w:tcPr>
            <w:tcW w:w="367" w:type="pct"/>
            <w:tcBorders>
              <w:bottom w:val="single" w:sz="4" w:space="0" w:color="auto"/>
            </w:tcBorders>
            <w:noWrap/>
            <w:vAlign w:val="center"/>
            <w:hideMark/>
          </w:tcPr>
          <w:p w14:paraId="78D6118D"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0</w:t>
            </w:r>
          </w:p>
        </w:tc>
      </w:tr>
      <w:tr w:rsidR="006A5274" w:rsidRPr="006A5274" w14:paraId="06DC6A9D" w14:textId="77777777" w:rsidTr="006A5274">
        <w:trPr>
          <w:trHeight w:val="91"/>
        </w:trPr>
        <w:tc>
          <w:tcPr>
            <w:tcW w:w="3309" w:type="pct"/>
            <w:gridSpan w:val="4"/>
            <w:tcBorders>
              <w:top w:val="single" w:sz="4" w:space="0" w:color="auto"/>
              <w:bottom w:val="single" w:sz="4" w:space="0" w:color="auto"/>
            </w:tcBorders>
            <w:noWrap/>
            <w:vAlign w:val="center"/>
            <w:hideMark/>
          </w:tcPr>
          <w:p w14:paraId="1D88A5B2" w14:textId="44BA6684"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Sub Total</w:t>
            </w:r>
          </w:p>
        </w:tc>
        <w:tc>
          <w:tcPr>
            <w:tcW w:w="515" w:type="pct"/>
            <w:tcBorders>
              <w:top w:val="single" w:sz="4" w:space="0" w:color="auto"/>
              <w:bottom w:val="single" w:sz="4" w:space="0" w:color="auto"/>
            </w:tcBorders>
            <w:noWrap/>
            <w:vAlign w:val="center"/>
            <w:hideMark/>
          </w:tcPr>
          <w:p w14:paraId="1E496B71"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228</w:t>
            </w:r>
          </w:p>
        </w:tc>
        <w:tc>
          <w:tcPr>
            <w:tcW w:w="441" w:type="pct"/>
            <w:tcBorders>
              <w:top w:val="single" w:sz="4" w:space="0" w:color="auto"/>
              <w:bottom w:val="single" w:sz="4" w:space="0" w:color="auto"/>
            </w:tcBorders>
            <w:noWrap/>
            <w:vAlign w:val="center"/>
            <w:hideMark/>
          </w:tcPr>
          <w:p w14:paraId="01AB965C"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172</w:t>
            </w:r>
          </w:p>
        </w:tc>
        <w:tc>
          <w:tcPr>
            <w:tcW w:w="368" w:type="pct"/>
            <w:tcBorders>
              <w:top w:val="single" w:sz="4" w:space="0" w:color="auto"/>
              <w:bottom w:val="single" w:sz="4" w:space="0" w:color="auto"/>
            </w:tcBorders>
            <w:noWrap/>
            <w:vAlign w:val="center"/>
            <w:hideMark/>
          </w:tcPr>
          <w:p w14:paraId="2EB405C3"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77</w:t>
            </w:r>
          </w:p>
        </w:tc>
        <w:tc>
          <w:tcPr>
            <w:tcW w:w="367" w:type="pct"/>
            <w:tcBorders>
              <w:top w:val="single" w:sz="4" w:space="0" w:color="auto"/>
              <w:bottom w:val="single" w:sz="4" w:space="0" w:color="auto"/>
            </w:tcBorders>
            <w:noWrap/>
            <w:vAlign w:val="center"/>
            <w:hideMark/>
          </w:tcPr>
          <w:p w14:paraId="4B4DE87A" w14:textId="77777777"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113</w:t>
            </w:r>
          </w:p>
        </w:tc>
      </w:tr>
      <w:tr w:rsidR="002574F9" w:rsidRPr="006A5274" w14:paraId="2B00379E" w14:textId="77777777" w:rsidTr="006A5274">
        <w:trPr>
          <w:trHeight w:val="91"/>
        </w:trPr>
        <w:tc>
          <w:tcPr>
            <w:tcW w:w="3309" w:type="pct"/>
            <w:gridSpan w:val="4"/>
            <w:tcBorders>
              <w:top w:val="single" w:sz="4" w:space="0" w:color="auto"/>
              <w:bottom w:val="single" w:sz="4" w:space="0" w:color="auto"/>
            </w:tcBorders>
            <w:noWrap/>
            <w:vAlign w:val="center"/>
            <w:hideMark/>
          </w:tcPr>
          <w:p w14:paraId="50F2B7CA" w14:textId="3DFBC1ED" w:rsidR="002574F9" w:rsidRPr="006A5274" w:rsidRDefault="002574F9" w:rsidP="006A5274">
            <w:pPr>
              <w:pStyle w:val="NoSpacing"/>
              <w:jc w:val="center"/>
              <w:rPr>
                <w:rFonts w:ascii="Times New Roman" w:hAnsi="Times New Roman" w:cs="Times New Roman"/>
                <w:sz w:val="20"/>
                <w:szCs w:val="20"/>
              </w:rPr>
            </w:pPr>
            <w:r w:rsidRPr="006A5274">
              <w:rPr>
                <w:rFonts w:ascii="Times New Roman" w:hAnsi="Times New Roman" w:cs="Times New Roman"/>
                <w:sz w:val="20"/>
                <w:szCs w:val="20"/>
              </w:rPr>
              <w:t>Total</w:t>
            </w:r>
          </w:p>
        </w:tc>
        <w:tc>
          <w:tcPr>
            <w:tcW w:w="1691" w:type="pct"/>
            <w:gridSpan w:val="4"/>
            <w:tcBorders>
              <w:top w:val="single" w:sz="4" w:space="0" w:color="auto"/>
              <w:bottom w:val="single" w:sz="4" w:space="0" w:color="auto"/>
            </w:tcBorders>
            <w:noWrap/>
            <w:vAlign w:val="center"/>
            <w:hideMark/>
          </w:tcPr>
          <w:p w14:paraId="0A81A76A" w14:textId="77777777" w:rsidR="002574F9" w:rsidRPr="006A5274" w:rsidRDefault="002574F9" w:rsidP="006A5274">
            <w:pPr>
              <w:pStyle w:val="NoSpacing"/>
              <w:tabs>
                <w:tab w:val="center" w:pos="1079"/>
              </w:tabs>
              <w:jc w:val="center"/>
              <w:rPr>
                <w:rFonts w:ascii="Times New Roman" w:hAnsi="Times New Roman" w:cs="Times New Roman"/>
                <w:sz w:val="20"/>
                <w:szCs w:val="20"/>
              </w:rPr>
            </w:pPr>
            <w:r w:rsidRPr="006A5274">
              <w:rPr>
                <w:rFonts w:ascii="Times New Roman" w:hAnsi="Times New Roman" w:cs="Times New Roman"/>
                <w:sz w:val="20"/>
                <w:szCs w:val="20"/>
              </w:rPr>
              <w:t>590</w:t>
            </w:r>
          </w:p>
        </w:tc>
      </w:tr>
    </w:tbl>
    <w:p w14:paraId="33D38D16" w14:textId="77777777" w:rsidR="00260581" w:rsidRDefault="00260581" w:rsidP="002574F9">
      <w:pPr>
        <w:spacing w:after="240"/>
      </w:pPr>
    </w:p>
    <w:p w14:paraId="4DFE7732" w14:textId="3E62AE17" w:rsidR="002574F9" w:rsidRPr="002574F9" w:rsidRDefault="002574F9" w:rsidP="002574F9">
      <w:pPr>
        <w:pStyle w:val="Els-body-text"/>
        <w:spacing w:after="240"/>
        <w:rPr>
          <w:rFonts w:eastAsiaTheme="minorHAnsi"/>
          <w:szCs w:val="22"/>
          <w:lang w:val="en-ID"/>
        </w:rPr>
      </w:pPr>
      <w:r w:rsidRPr="002574F9">
        <w:rPr>
          <w:rFonts w:eastAsiaTheme="minorHAnsi"/>
          <w:szCs w:val="22"/>
          <w:lang w:val="en-ID"/>
        </w:rPr>
        <w:t xml:space="preserve">Based on Table 1, it was known that the total number of species from the Dipterocarpaceae family in the Sungai Harapan Protected Forest, Special Block of the Batam Arboretum, consists of 20 species with a total of 590 individuals from six genera. These species exhibit various growth stages, including seedlings, saplings, poles, and trees. The most dominant species was </w:t>
      </w:r>
      <w:r w:rsidRPr="002574F9">
        <w:rPr>
          <w:rFonts w:eastAsiaTheme="minorHAnsi"/>
          <w:i/>
          <w:iCs/>
          <w:szCs w:val="22"/>
          <w:lang w:val="en-ID"/>
        </w:rPr>
        <w:t>Hopea beccariana</w:t>
      </w:r>
      <w:r w:rsidRPr="002574F9">
        <w:rPr>
          <w:rFonts w:eastAsiaTheme="minorHAnsi"/>
          <w:szCs w:val="22"/>
          <w:lang w:val="en-ID"/>
        </w:rPr>
        <w:t xml:space="preserve"> Burck with 182 individuals, followed by Shorea curtisii Dyer ex King with 108 individuals, and the third most abundant species was </w:t>
      </w:r>
      <w:r w:rsidRPr="002574F9">
        <w:rPr>
          <w:rFonts w:eastAsiaTheme="minorHAnsi"/>
          <w:i/>
          <w:iCs/>
          <w:szCs w:val="22"/>
          <w:lang w:val="en-ID"/>
        </w:rPr>
        <w:t>Vatica pauciflora</w:t>
      </w:r>
      <w:r w:rsidRPr="002574F9">
        <w:rPr>
          <w:rFonts w:eastAsiaTheme="minorHAnsi"/>
          <w:szCs w:val="22"/>
          <w:lang w:val="en-ID"/>
        </w:rPr>
        <w:t xml:space="preserve"> (Korth.) Blume with 99 individuals. These three species were found at all growth stages, namely seedlings, saplings, poles, and trees. The lowest number of individuals from the Dipterocarpaceae family was recorded for </w:t>
      </w:r>
      <w:r w:rsidRPr="002574F9">
        <w:rPr>
          <w:rFonts w:eastAsiaTheme="minorHAnsi"/>
          <w:i/>
          <w:iCs/>
          <w:szCs w:val="22"/>
          <w:lang w:val="en-ID"/>
        </w:rPr>
        <w:t>Shorea selanica</w:t>
      </w:r>
      <w:r w:rsidRPr="002574F9">
        <w:rPr>
          <w:rFonts w:eastAsiaTheme="minorHAnsi"/>
          <w:szCs w:val="22"/>
          <w:lang w:val="en-ID"/>
        </w:rPr>
        <w:t xml:space="preserve"> (Valmont) and </w:t>
      </w:r>
      <w:r w:rsidRPr="002574F9">
        <w:rPr>
          <w:rFonts w:eastAsiaTheme="minorHAnsi"/>
          <w:i/>
          <w:iCs/>
          <w:szCs w:val="22"/>
          <w:lang w:val="en-ID"/>
        </w:rPr>
        <w:t>Vatica lowii</w:t>
      </w:r>
      <w:r w:rsidRPr="002574F9">
        <w:rPr>
          <w:rFonts w:eastAsiaTheme="minorHAnsi"/>
          <w:szCs w:val="22"/>
          <w:lang w:val="en-ID"/>
        </w:rPr>
        <w:t xml:space="preserve"> King, each represented by only one </w:t>
      </w:r>
      <w:r w:rsidR="006A5274">
        <w:rPr>
          <w:rFonts w:eastAsiaTheme="minorHAnsi"/>
          <w:szCs w:val="22"/>
          <w:lang w:val="en-ID"/>
        </w:rPr>
        <w:t>seedling</w:t>
      </w:r>
      <w:r w:rsidRPr="002574F9">
        <w:rPr>
          <w:rFonts w:eastAsiaTheme="minorHAnsi"/>
          <w:szCs w:val="22"/>
          <w:lang w:val="en-ID"/>
        </w:rPr>
        <w:t>.</w:t>
      </w:r>
    </w:p>
    <w:p w14:paraId="362FAA75" w14:textId="45CD23B0" w:rsidR="002574F9" w:rsidRPr="002574F9" w:rsidRDefault="002574F9" w:rsidP="002574F9">
      <w:pPr>
        <w:pStyle w:val="Els-2ndorder-head"/>
        <w:spacing w:after="0"/>
      </w:pPr>
      <w:r w:rsidRPr="002574F9">
        <w:t>Important Value Index (IVI)</w:t>
      </w:r>
    </w:p>
    <w:p w14:paraId="5DAB168E" w14:textId="0221B662" w:rsidR="002574F9" w:rsidRPr="002574F9" w:rsidRDefault="002574F9" w:rsidP="002574F9">
      <w:pPr>
        <w:pStyle w:val="Els-body-text"/>
        <w:spacing w:after="240"/>
        <w:rPr>
          <w:rFonts w:eastAsiaTheme="minorHAnsi"/>
          <w:szCs w:val="22"/>
          <w:lang w:val="en-ID"/>
        </w:rPr>
      </w:pPr>
      <w:r w:rsidRPr="002574F9">
        <w:rPr>
          <w:rFonts w:eastAsiaTheme="minorHAnsi"/>
          <w:szCs w:val="22"/>
          <w:lang w:val="en-ID"/>
        </w:rPr>
        <w:t xml:space="preserve">Based on the </w:t>
      </w:r>
      <w:r w:rsidR="006A5274">
        <w:rPr>
          <w:rFonts w:eastAsiaTheme="minorHAnsi"/>
          <w:szCs w:val="22"/>
          <w:lang w:val="en-ID"/>
        </w:rPr>
        <w:t>IVI calculations for the Dipterocarpaceae family in the research plots, which were classified by growth stage (seedlings, saplings, poles, and trees)</w:t>
      </w:r>
      <w:r w:rsidRPr="002574F9">
        <w:rPr>
          <w:rFonts w:eastAsiaTheme="minorHAnsi"/>
          <w:szCs w:val="22"/>
          <w:lang w:val="en-ID"/>
        </w:rPr>
        <w:t>, the results are presented sequentially in the tables below.</w:t>
      </w:r>
    </w:p>
    <w:p w14:paraId="66C3D9AE" w14:textId="078D2D71" w:rsidR="00260581" w:rsidRDefault="002574F9" w:rsidP="002574F9">
      <w:pPr>
        <w:jc w:val="center"/>
      </w:pPr>
      <w:r w:rsidRPr="002574F9">
        <w:t>Table 2. IVI at the seedling level.</w:t>
      </w:r>
    </w:p>
    <w:tbl>
      <w:tblPr>
        <w:tblW w:w="5000" w:type="pct"/>
        <w:jc w:val="center"/>
        <w:tblLook w:val="04A0" w:firstRow="1" w:lastRow="0" w:firstColumn="1" w:lastColumn="0" w:noHBand="0" w:noVBand="1"/>
      </w:tblPr>
      <w:tblGrid>
        <w:gridCol w:w="1328"/>
        <w:gridCol w:w="3186"/>
        <w:gridCol w:w="1662"/>
        <w:gridCol w:w="1696"/>
        <w:gridCol w:w="1766"/>
      </w:tblGrid>
      <w:tr w:rsidR="002574F9" w:rsidRPr="006A5274" w14:paraId="5AAC7843" w14:textId="77777777" w:rsidTr="006A5274">
        <w:trPr>
          <w:trHeight w:val="20"/>
          <w:jc w:val="center"/>
        </w:trPr>
        <w:tc>
          <w:tcPr>
            <w:tcW w:w="689" w:type="pct"/>
            <w:tcBorders>
              <w:top w:val="single" w:sz="4" w:space="0" w:color="auto"/>
              <w:left w:val="nil"/>
              <w:bottom w:val="single" w:sz="4" w:space="0" w:color="auto"/>
              <w:right w:val="nil"/>
            </w:tcBorders>
            <w:noWrap/>
            <w:vAlign w:val="center"/>
            <w:hideMark/>
          </w:tcPr>
          <w:p w14:paraId="5A08D2C9"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No</w:t>
            </w:r>
          </w:p>
        </w:tc>
        <w:tc>
          <w:tcPr>
            <w:tcW w:w="1653" w:type="pct"/>
            <w:tcBorders>
              <w:top w:val="single" w:sz="4" w:space="0" w:color="auto"/>
              <w:left w:val="nil"/>
              <w:bottom w:val="single" w:sz="4" w:space="0" w:color="auto"/>
              <w:right w:val="nil"/>
            </w:tcBorders>
            <w:noWrap/>
            <w:vAlign w:val="center"/>
            <w:hideMark/>
          </w:tcPr>
          <w:p w14:paraId="1F8B3D2B"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Species</w:t>
            </w:r>
          </w:p>
        </w:tc>
        <w:tc>
          <w:tcPr>
            <w:tcW w:w="862" w:type="pct"/>
            <w:tcBorders>
              <w:top w:val="single" w:sz="4" w:space="0" w:color="auto"/>
              <w:left w:val="nil"/>
              <w:bottom w:val="single" w:sz="4" w:space="0" w:color="auto"/>
              <w:right w:val="nil"/>
            </w:tcBorders>
            <w:noWrap/>
            <w:vAlign w:val="center"/>
            <w:hideMark/>
          </w:tcPr>
          <w:p w14:paraId="3BB64D6C"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RD(%)</w:t>
            </w:r>
          </w:p>
        </w:tc>
        <w:tc>
          <w:tcPr>
            <w:tcW w:w="880" w:type="pct"/>
            <w:tcBorders>
              <w:top w:val="single" w:sz="4" w:space="0" w:color="auto"/>
              <w:left w:val="nil"/>
              <w:bottom w:val="single" w:sz="4" w:space="0" w:color="auto"/>
              <w:right w:val="nil"/>
            </w:tcBorders>
            <w:noWrap/>
            <w:vAlign w:val="center"/>
            <w:hideMark/>
          </w:tcPr>
          <w:p w14:paraId="5BC507EB"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RF (%)</w:t>
            </w:r>
          </w:p>
        </w:tc>
        <w:tc>
          <w:tcPr>
            <w:tcW w:w="917" w:type="pct"/>
            <w:tcBorders>
              <w:top w:val="single" w:sz="4" w:space="0" w:color="auto"/>
              <w:left w:val="nil"/>
              <w:bottom w:val="single" w:sz="4" w:space="0" w:color="auto"/>
              <w:right w:val="nil"/>
            </w:tcBorders>
            <w:noWrap/>
            <w:vAlign w:val="center"/>
            <w:hideMark/>
          </w:tcPr>
          <w:p w14:paraId="30CD9A7D"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IVI (%)</w:t>
            </w:r>
          </w:p>
        </w:tc>
      </w:tr>
      <w:tr w:rsidR="002574F9" w:rsidRPr="006A5274" w14:paraId="509A1EC1" w14:textId="77777777" w:rsidTr="006A5274">
        <w:trPr>
          <w:trHeight w:val="20"/>
          <w:jc w:val="center"/>
        </w:trPr>
        <w:tc>
          <w:tcPr>
            <w:tcW w:w="689" w:type="pct"/>
            <w:noWrap/>
            <w:vAlign w:val="center"/>
            <w:hideMark/>
          </w:tcPr>
          <w:p w14:paraId="258E8DCA"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w:t>
            </w:r>
          </w:p>
        </w:tc>
        <w:tc>
          <w:tcPr>
            <w:tcW w:w="1653" w:type="pct"/>
            <w:noWrap/>
            <w:vAlign w:val="center"/>
            <w:hideMark/>
          </w:tcPr>
          <w:p w14:paraId="68E243FD" w14:textId="7069C855"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H. beccariana</w:t>
            </w:r>
          </w:p>
        </w:tc>
        <w:tc>
          <w:tcPr>
            <w:tcW w:w="862" w:type="pct"/>
            <w:noWrap/>
            <w:vAlign w:val="center"/>
            <w:hideMark/>
          </w:tcPr>
          <w:p w14:paraId="4B57374C" w14:textId="4B3DB9AA"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32</w:t>
            </w:r>
            <w:r w:rsidR="00A91959">
              <w:rPr>
                <w:rFonts w:eastAsia="Times New Roman" w:cs="Times New Roman"/>
                <w:color w:val="000000"/>
                <w:szCs w:val="22"/>
              </w:rPr>
              <w:t>.</w:t>
            </w:r>
            <w:r w:rsidRPr="006A5274">
              <w:rPr>
                <w:rFonts w:eastAsia="Times New Roman" w:cs="Times New Roman"/>
                <w:color w:val="000000"/>
                <w:szCs w:val="22"/>
              </w:rPr>
              <w:t>46</w:t>
            </w:r>
          </w:p>
        </w:tc>
        <w:tc>
          <w:tcPr>
            <w:tcW w:w="880" w:type="pct"/>
            <w:noWrap/>
            <w:vAlign w:val="center"/>
            <w:hideMark/>
          </w:tcPr>
          <w:p w14:paraId="6BF13825" w14:textId="00502B68"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20</w:t>
            </w:r>
            <w:r w:rsidR="00A91959">
              <w:rPr>
                <w:rFonts w:eastAsia="Times New Roman" w:cs="Times New Roman"/>
                <w:color w:val="000000"/>
                <w:szCs w:val="22"/>
              </w:rPr>
              <w:t xml:space="preserve"> </w:t>
            </w:r>
          </w:p>
        </w:tc>
        <w:tc>
          <w:tcPr>
            <w:tcW w:w="917" w:type="pct"/>
            <w:noWrap/>
            <w:vAlign w:val="center"/>
            <w:hideMark/>
          </w:tcPr>
          <w:p w14:paraId="2003E5F8" w14:textId="160723F5"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52</w:t>
            </w:r>
            <w:r w:rsidR="00A91959">
              <w:rPr>
                <w:rFonts w:eastAsia="Times New Roman" w:cs="Times New Roman"/>
                <w:color w:val="000000"/>
                <w:szCs w:val="22"/>
              </w:rPr>
              <w:t>.</w:t>
            </w:r>
            <w:r w:rsidRPr="006A5274">
              <w:rPr>
                <w:rFonts w:eastAsia="Times New Roman" w:cs="Times New Roman"/>
                <w:color w:val="000000"/>
                <w:szCs w:val="22"/>
              </w:rPr>
              <w:t>46</w:t>
            </w:r>
          </w:p>
        </w:tc>
      </w:tr>
      <w:tr w:rsidR="002574F9" w:rsidRPr="006A5274" w14:paraId="7A1135DD" w14:textId="77777777" w:rsidTr="006A5274">
        <w:trPr>
          <w:trHeight w:val="20"/>
          <w:jc w:val="center"/>
        </w:trPr>
        <w:tc>
          <w:tcPr>
            <w:tcW w:w="689" w:type="pct"/>
            <w:noWrap/>
            <w:vAlign w:val="center"/>
            <w:hideMark/>
          </w:tcPr>
          <w:p w14:paraId="439AACC7"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p>
        </w:tc>
        <w:tc>
          <w:tcPr>
            <w:tcW w:w="1653" w:type="pct"/>
            <w:noWrap/>
            <w:vAlign w:val="center"/>
            <w:hideMark/>
          </w:tcPr>
          <w:p w14:paraId="1FE31FE4" w14:textId="2537678E"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V. pauciflora</w:t>
            </w:r>
          </w:p>
        </w:tc>
        <w:tc>
          <w:tcPr>
            <w:tcW w:w="862" w:type="pct"/>
            <w:noWrap/>
            <w:vAlign w:val="center"/>
            <w:hideMark/>
          </w:tcPr>
          <w:p w14:paraId="674B403F" w14:textId="5375F260"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25</w:t>
            </w:r>
            <w:r w:rsidR="00A91959">
              <w:rPr>
                <w:rFonts w:eastAsia="Times New Roman" w:cs="Times New Roman"/>
                <w:color w:val="000000"/>
                <w:szCs w:val="22"/>
              </w:rPr>
              <w:t>.</w:t>
            </w:r>
            <w:r w:rsidRPr="006A5274">
              <w:rPr>
                <w:rFonts w:eastAsia="Times New Roman" w:cs="Times New Roman"/>
                <w:color w:val="000000"/>
                <w:szCs w:val="22"/>
              </w:rPr>
              <w:t>88</w:t>
            </w:r>
          </w:p>
        </w:tc>
        <w:tc>
          <w:tcPr>
            <w:tcW w:w="880" w:type="pct"/>
            <w:noWrap/>
            <w:vAlign w:val="center"/>
            <w:hideMark/>
          </w:tcPr>
          <w:p w14:paraId="4CECA999" w14:textId="2F4419DB"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15</w:t>
            </w:r>
          </w:p>
        </w:tc>
        <w:tc>
          <w:tcPr>
            <w:tcW w:w="917" w:type="pct"/>
            <w:noWrap/>
            <w:vAlign w:val="center"/>
            <w:hideMark/>
          </w:tcPr>
          <w:p w14:paraId="2E331DF6" w14:textId="024E1A2F"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40</w:t>
            </w:r>
            <w:r w:rsidR="00A91959">
              <w:rPr>
                <w:rFonts w:eastAsia="Times New Roman" w:cs="Times New Roman"/>
                <w:color w:val="000000"/>
                <w:szCs w:val="22"/>
              </w:rPr>
              <w:t>.</w:t>
            </w:r>
            <w:r w:rsidRPr="006A5274">
              <w:rPr>
                <w:rFonts w:eastAsia="Times New Roman" w:cs="Times New Roman"/>
                <w:color w:val="000000"/>
                <w:szCs w:val="22"/>
              </w:rPr>
              <w:t>88</w:t>
            </w:r>
          </w:p>
        </w:tc>
      </w:tr>
      <w:tr w:rsidR="002574F9" w:rsidRPr="006A5274" w14:paraId="421C1161" w14:textId="77777777" w:rsidTr="006A5274">
        <w:trPr>
          <w:trHeight w:val="20"/>
          <w:jc w:val="center"/>
        </w:trPr>
        <w:tc>
          <w:tcPr>
            <w:tcW w:w="689" w:type="pct"/>
            <w:noWrap/>
            <w:vAlign w:val="center"/>
            <w:hideMark/>
          </w:tcPr>
          <w:p w14:paraId="014C54C7"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3</w:t>
            </w:r>
          </w:p>
        </w:tc>
        <w:tc>
          <w:tcPr>
            <w:tcW w:w="1653" w:type="pct"/>
            <w:noWrap/>
            <w:vAlign w:val="center"/>
            <w:hideMark/>
          </w:tcPr>
          <w:p w14:paraId="685D0293" w14:textId="598C8408"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S. curtisii</w:t>
            </w:r>
          </w:p>
        </w:tc>
        <w:tc>
          <w:tcPr>
            <w:tcW w:w="862" w:type="pct"/>
            <w:noWrap/>
            <w:vAlign w:val="center"/>
            <w:hideMark/>
          </w:tcPr>
          <w:p w14:paraId="5338A8A7" w14:textId="29877D2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8</w:t>
            </w:r>
            <w:r w:rsidR="00A91959">
              <w:rPr>
                <w:rFonts w:eastAsia="Times New Roman" w:cs="Times New Roman"/>
                <w:color w:val="000000"/>
                <w:szCs w:val="22"/>
              </w:rPr>
              <w:t>.</w:t>
            </w:r>
            <w:r w:rsidRPr="006A5274">
              <w:rPr>
                <w:rFonts w:eastAsia="Times New Roman" w:cs="Times New Roman"/>
                <w:color w:val="000000"/>
                <w:szCs w:val="22"/>
              </w:rPr>
              <w:t>77</w:t>
            </w:r>
          </w:p>
        </w:tc>
        <w:tc>
          <w:tcPr>
            <w:tcW w:w="880" w:type="pct"/>
            <w:noWrap/>
            <w:vAlign w:val="center"/>
            <w:hideMark/>
          </w:tcPr>
          <w:p w14:paraId="3FAAFF83" w14:textId="084EF0D1"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15</w:t>
            </w:r>
          </w:p>
        </w:tc>
        <w:tc>
          <w:tcPr>
            <w:tcW w:w="917" w:type="pct"/>
            <w:noWrap/>
            <w:vAlign w:val="center"/>
            <w:hideMark/>
          </w:tcPr>
          <w:p w14:paraId="1E190D33" w14:textId="3CB33228"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23</w:t>
            </w:r>
            <w:r w:rsidR="00A91959">
              <w:rPr>
                <w:rFonts w:eastAsia="Times New Roman" w:cs="Times New Roman"/>
                <w:color w:val="000000"/>
                <w:szCs w:val="22"/>
              </w:rPr>
              <w:t>.</w:t>
            </w:r>
            <w:r w:rsidRPr="006A5274">
              <w:rPr>
                <w:rFonts w:eastAsia="Times New Roman" w:cs="Times New Roman"/>
                <w:color w:val="000000"/>
                <w:szCs w:val="22"/>
              </w:rPr>
              <w:t>77</w:t>
            </w:r>
          </w:p>
        </w:tc>
      </w:tr>
      <w:tr w:rsidR="002574F9" w:rsidRPr="006A5274" w14:paraId="774E421D" w14:textId="77777777" w:rsidTr="006A5274">
        <w:trPr>
          <w:trHeight w:val="20"/>
          <w:jc w:val="center"/>
        </w:trPr>
        <w:tc>
          <w:tcPr>
            <w:tcW w:w="689" w:type="pct"/>
            <w:noWrap/>
            <w:vAlign w:val="center"/>
            <w:hideMark/>
          </w:tcPr>
          <w:p w14:paraId="49D38463"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4</w:t>
            </w:r>
          </w:p>
        </w:tc>
        <w:tc>
          <w:tcPr>
            <w:tcW w:w="1653" w:type="pct"/>
            <w:noWrap/>
            <w:vAlign w:val="center"/>
            <w:hideMark/>
          </w:tcPr>
          <w:p w14:paraId="528AB51D" w14:textId="7EB211C0"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H. mengarawan</w:t>
            </w:r>
          </w:p>
        </w:tc>
        <w:tc>
          <w:tcPr>
            <w:tcW w:w="862" w:type="pct"/>
            <w:noWrap/>
            <w:vAlign w:val="center"/>
            <w:hideMark/>
          </w:tcPr>
          <w:p w14:paraId="2E52E9A3" w14:textId="1A364CB3"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6</w:t>
            </w:r>
            <w:r w:rsidR="00A91959">
              <w:rPr>
                <w:rFonts w:eastAsia="Times New Roman" w:cs="Times New Roman"/>
                <w:color w:val="000000"/>
                <w:szCs w:val="22"/>
              </w:rPr>
              <w:t>.</w:t>
            </w:r>
            <w:r w:rsidRPr="006A5274">
              <w:rPr>
                <w:rFonts w:eastAsia="Times New Roman" w:cs="Times New Roman"/>
                <w:color w:val="000000"/>
                <w:szCs w:val="22"/>
              </w:rPr>
              <w:t>14</w:t>
            </w:r>
          </w:p>
        </w:tc>
        <w:tc>
          <w:tcPr>
            <w:tcW w:w="880" w:type="pct"/>
            <w:noWrap/>
            <w:vAlign w:val="center"/>
            <w:hideMark/>
          </w:tcPr>
          <w:p w14:paraId="3DD9CC5C" w14:textId="61A06F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6781BD76" w14:textId="01237AB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18</w:t>
            </w:r>
            <w:r w:rsidR="00A91959">
              <w:rPr>
                <w:rFonts w:eastAsia="Times New Roman" w:cs="Times New Roman"/>
                <w:color w:val="000000"/>
                <w:szCs w:val="22"/>
              </w:rPr>
              <w:t>.</w:t>
            </w:r>
            <w:r w:rsidRPr="006A5274">
              <w:rPr>
                <w:rFonts w:eastAsia="Times New Roman" w:cs="Times New Roman"/>
                <w:color w:val="000000"/>
                <w:szCs w:val="22"/>
              </w:rPr>
              <w:t>64</w:t>
            </w:r>
          </w:p>
        </w:tc>
      </w:tr>
      <w:tr w:rsidR="002574F9" w:rsidRPr="006A5274" w14:paraId="3B432C1E" w14:textId="77777777" w:rsidTr="006A5274">
        <w:trPr>
          <w:trHeight w:val="20"/>
          <w:jc w:val="center"/>
        </w:trPr>
        <w:tc>
          <w:tcPr>
            <w:tcW w:w="689" w:type="pct"/>
            <w:noWrap/>
            <w:vAlign w:val="center"/>
            <w:hideMark/>
          </w:tcPr>
          <w:p w14:paraId="104B421B"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5</w:t>
            </w:r>
          </w:p>
        </w:tc>
        <w:tc>
          <w:tcPr>
            <w:tcW w:w="1653" w:type="pct"/>
            <w:noWrap/>
            <w:vAlign w:val="center"/>
            <w:hideMark/>
          </w:tcPr>
          <w:p w14:paraId="3233CB1E" w14:textId="77777777"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D. rigidus</w:t>
            </w:r>
          </w:p>
        </w:tc>
        <w:tc>
          <w:tcPr>
            <w:tcW w:w="862" w:type="pct"/>
            <w:noWrap/>
            <w:vAlign w:val="center"/>
            <w:hideMark/>
          </w:tcPr>
          <w:p w14:paraId="0804186A" w14:textId="35068192"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10</w:t>
            </w:r>
            <w:r w:rsidR="00A91959">
              <w:rPr>
                <w:rFonts w:eastAsia="Times New Roman" w:cs="Times New Roman"/>
                <w:color w:val="000000"/>
                <w:szCs w:val="22"/>
              </w:rPr>
              <w:t>.</w:t>
            </w:r>
            <w:r w:rsidRPr="006A5274">
              <w:rPr>
                <w:rFonts w:eastAsia="Times New Roman" w:cs="Times New Roman"/>
                <w:color w:val="000000"/>
                <w:szCs w:val="22"/>
              </w:rPr>
              <w:t>09</w:t>
            </w:r>
          </w:p>
        </w:tc>
        <w:tc>
          <w:tcPr>
            <w:tcW w:w="880" w:type="pct"/>
            <w:noWrap/>
            <w:vAlign w:val="center"/>
            <w:hideMark/>
          </w:tcPr>
          <w:p w14:paraId="20295E2C" w14:textId="7015DBCF"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7</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6E0E7248" w14:textId="0BC6D919"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17</w:t>
            </w:r>
            <w:r w:rsidR="00A91959">
              <w:rPr>
                <w:rFonts w:eastAsia="Times New Roman" w:cs="Times New Roman"/>
                <w:color w:val="000000"/>
                <w:szCs w:val="22"/>
              </w:rPr>
              <w:t>.</w:t>
            </w:r>
            <w:r w:rsidRPr="006A5274">
              <w:rPr>
                <w:rFonts w:eastAsia="Times New Roman" w:cs="Times New Roman"/>
                <w:color w:val="000000"/>
                <w:szCs w:val="22"/>
              </w:rPr>
              <w:t>59</w:t>
            </w:r>
          </w:p>
        </w:tc>
      </w:tr>
      <w:tr w:rsidR="002574F9" w:rsidRPr="006A5274" w14:paraId="677EE0E8" w14:textId="77777777" w:rsidTr="006A5274">
        <w:trPr>
          <w:trHeight w:val="20"/>
          <w:jc w:val="center"/>
        </w:trPr>
        <w:tc>
          <w:tcPr>
            <w:tcW w:w="689" w:type="pct"/>
            <w:noWrap/>
            <w:vAlign w:val="center"/>
            <w:hideMark/>
          </w:tcPr>
          <w:p w14:paraId="1B004D66"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6</w:t>
            </w:r>
          </w:p>
        </w:tc>
        <w:tc>
          <w:tcPr>
            <w:tcW w:w="1653" w:type="pct"/>
            <w:noWrap/>
            <w:vAlign w:val="center"/>
            <w:hideMark/>
          </w:tcPr>
          <w:p w14:paraId="75A5F501" w14:textId="105FF3B4"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V. cuspidata</w:t>
            </w:r>
          </w:p>
        </w:tc>
        <w:tc>
          <w:tcPr>
            <w:tcW w:w="862" w:type="pct"/>
            <w:noWrap/>
            <w:vAlign w:val="center"/>
            <w:hideMark/>
          </w:tcPr>
          <w:p w14:paraId="7AB514FB" w14:textId="4BE02E7F"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8</w:t>
            </w:r>
            <w:r w:rsidR="00A91959">
              <w:rPr>
                <w:rFonts w:eastAsia="Times New Roman" w:cs="Times New Roman"/>
                <w:color w:val="000000"/>
                <w:szCs w:val="22"/>
              </w:rPr>
              <w:t>.</w:t>
            </w:r>
            <w:r w:rsidRPr="006A5274">
              <w:rPr>
                <w:rFonts w:eastAsia="Times New Roman" w:cs="Times New Roman"/>
                <w:color w:val="000000"/>
                <w:szCs w:val="22"/>
              </w:rPr>
              <w:t>77</w:t>
            </w:r>
          </w:p>
        </w:tc>
        <w:tc>
          <w:tcPr>
            <w:tcW w:w="880" w:type="pct"/>
            <w:noWrap/>
            <w:vAlign w:val="center"/>
            <w:hideMark/>
          </w:tcPr>
          <w:p w14:paraId="0FF2D780" w14:textId="0851ABF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7</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7241F5C8" w14:textId="5881E669"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16</w:t>
            </w:r>
            <w:r w:rsidR="00A91959">
              <w:rPr>
                <w:rFonts w:eastAsia="Times New Roman" w:cs="Times New Roman"/>
                <w:color w:val="000000"/>
                <w:szCs w:val="22"/>
              </w:rPr>
              <w:t>.</w:t>
            </w:r>
            <w:r w:rsidRPr="006A5274">
              <w:rPr>
                <w:rFonts w:eastAsia="Times New Roman" w:cs="Times New Roman"/>
                <w:color w:val="000000"/>
                <w:szCs w:val="22"/>
              </w:rPr>
              <w:t>27</w:t>
            </w:r>
          </w:p>
        </w:tc>
      </w:tr>
      <w:tr w:rsidR="002574F9" w:rsidRPr="006A5274" w14:paraId="0856C11D" w14:textId="77777777" w:rsidTr="006A5274">
        <w:trPr>
          <w:trHeight w:val="20"/>
          <w:jc w:val="center"/>
        </w:trPr>
        <w:tc>
          <w:tcPr>
            <w:tcW w:w="689" w:type="pct"/>
            <w:noWrap/>
            <w:vAlign w:val="center"/>
            <w:hideMark/>
          </w:tcPr>
          <w:p w14:paraId="098709D0"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7</w:t>
            </w:r>
          </w:p>
        </w:tc>
        <w:tc>
          <w:tcPr>
            <w:tcW w:w="1653" w:type="pct"/>
            <w:noWrap/>
            <w:vAlign w:val="center"/>
            <w:hideMark/>
          </w:tcPr>
          <w:p w14:paraId="1C9028C3" w14:textId="4C150B18"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D. elongatus</w:t>
            </w:r>
            <w:r w:rsidRPr="006A5274">
              <w:rPr>
                <w:rFonts w:eastAsia="Times New Roman" w:cs="Times New Roman"/>
                <w:szCs w:val="22"/>
              </w:rPr>
              <w:t>.</w:t>
            </w:r>
          </w:p>
        </w:tc>
        <w:tc>
          <w:tcPr>
            <w:tcW w:w="862" w:type="pct"/>
            <w:noWrap/>
            <w:vAlign w:val="center"/>
            <w:hideMark/>
          </w:tcPr>
          <w:p w14:paraId="61787D28" w14:textId="1A438B2E"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3</w:t>
            </w:r>
            <w:r w:rsidR="00A91959">
              <w:rPr>
                <w:rFonts w:eastAsia="Times New Roman" w:cs="Times New Roman"/>
                <w:color w:val="000000"/>
                <w:szCs w:val="22"/>
              </w:rPr>
              <w:t>.</w:t>
            </w:r>
            <w:r w:rsidRPr="006A5274">
              <w:rPr>
                <w:rFonts w:eastAsia="Times New Roman" w:cs="Times New Roman"/>
                <w:color w:val="000000"/>
                <w:szCs w:val="22"/>
              </w:rPr>
              <w:t>07</w:t>
            </w:r>
          </w:p>
        </w:tc>
        <w:tc>
          <w:tcPr>
            <w:tcW w:w="880" w:type="pct"/>
            <w:noWrap/>
            <w:vAlign w:val="center"/>
            <w:hideMark/>
          </w:tcPr>
          <w:p w14:paraId="666649D6" w14:textId="77B0D54A"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5</w:t>
            </w:r>
          </w:p>
        </w:tc>
        <w:tc>
          <w:tcPr>
            <w:tcW w:w="917" w:type="pct"/>
            <w:noWrap/>
            <w:vAlign w:val="center"/>
            <w:hideMark/>
          </w:tcPr>
          <w:p w14:paraId="7D2B7C91" w14:textId="30FA122B"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8</w:t>
            </w:r>
            <w:r w:rsidR="00A91959">
              <w:rPr>
                <w:rFonts w:eastAsia="Times New Roman" w:cs="Times New Roman"/>
                <w:color w:val="000000"/>
                <w:szCs w:val="22"/>
              </w:rPr>
              <w:t>.</w:t>
            </w:r>
            <w:r w:rsidRPr="006A5274">
              <w:rPr>
                <w:rFonts w:eastAsia="Times New Roman" w:cs="Times New Roman"/>
                <w:color w:val="000000"/>
                <w:szCs w:val="22"/>
              </w:rPr>
              <w:t>07</w:t>
            </w:r>
          </w:p>
        </w:tc>
      </w:tr>
      <w:tr w:rsidR="002574F9" w:rsidRPr="006A5274" w14:paraId="66C7FA92" w14:textId="77777777" w:rsidTr="006A5274">
        <w:trPr>
          <w:trHeight w:val="20"/>
          <w:jc w:val="center"/>
        </w:trPr>
        <w:tc>
          <w:tcPr>
            <w:tcW w:w="689" w:type="pct"/>
            <w:noWrap/>
            <w:vAlign w:val="center"/>
            <w:hideMark/>
          </w:tcPr>
          <w:p w14:paraId="033B2186"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8</w:t>
            </w:r>
          </w:p>
        </w:tc>
        <w:tc>
          <w:tcPr>
            <w:tcW w:w="1653" w:type="pct"/>
            <w:noWrap/>
            <w:vAlign w:val="center"/>
            <w:hideMark/>
          </w:tcPr>
          <w:p w14:paraId="0E81B6B3" w14:textId="5E57753A"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S falcifera</w:t>
            </w:r>
          </w:p>
        </w:tc>
        <w:tc>
          <w:tcPr>
            <w:tcW w:w="862" w:type="pct"/>
            <w:noWrap/>
            <w:vAlign w:val="center"/>
            <w:hideMark/>
          </w:tcPr>
          <w:p w14:paraId="214A9A2B" w14:textId="0FF8699B"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19</w:t>
            </w:r>
          </w:p>
        </w:tc>
        <w:tc>
          <w:tcPr>
            <w:tcW w:w="880" w:type="pct"/>
            <w:noWrap/>
            <w:vAlign w:val="center"/>
            <w:hideMark/>
          </w:tcPr>
          <w:p w14:paraId="46092363" w14:textId="767B4AF2"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679F568B" w14:textId="4F7D6632"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4</w:t>
            </w:r>
            <w:r w:rsidR="00A91959">
              <w:rPr>
                <w:rFonts w:eastAsia="Times New Roman" w:cs="Times New Roman"/>
                <w:color w:val="000000"/>
                <w:szCs w:val="22"/>
              </w:rPr>
              <w:t>.</w:t>
            </w:r>
            <w:r w:rsidRPr="006A5274">
              <w:rPr>
                <w:rFonts w:eastAsia="Times New Roman" w:cs="Times New Roman"/>
                <w:color w:val="000000"/>
                <w:szCs w:val="22"/>
              </w:rPr>
              <w:t>69</w:t>
            </w:r>
          </w:p>
        </w:tc>
      </w:tr>
      <w:tr w:rsidR="002574F9" w:rsidRPr="006A5274" w14:paraId="2C006DC6" w14:textId="77777777" w:rsidTr="006A5274">
        <w:trPr>
          <w:trHeight w:val="20"/>
          <w:jc w:val="center"/>
        </w:trPr>
        <w:tc>
          <w:tcPr>
            <w:tcW w:w="689" w:type="pct"/>
            <w:noWrap/>
            <w:vAlign w:val="center"/>
            <w:hideMark/>
          </w:tcPr>
          <w:p w14:paraId="20E49858"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9</w:t>
            </w:r>
          </w:p>
        </w:tc>
        <w:tc>
          <w:tcPr>
            <w:tcW w:w="1653" w:type="pct"/>
            <w:noWrap/>
            <w:vAlign w:val="center"/>
            <w:hideMark/>
          </w:tcPr>
          <w:p w14:paraId="7CB5319F" w14:textId="77777777"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D. grandifloras</w:t>
            </w:r>
          </w:p>
        </w:tc>
        <w:tc>
          <w:tcPr>
            <w:tcW w:w="862" w:type="pct"/>
            <w:noWrap/>
            <w:vAlign w:val="center"/>
            <w:hideMark/>
          </w:tcPr>
          <w:p w14:paraId="4E3D8FCE" w14:textId="151D61DD"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0</w:t>
            </w:r>
            <w:r w:rsidR="00A91959">
              <w:rPr>
                <w:rFonts w:eastAsia="Times New Roman" w:cs="Times New Roman"/>
                <w:color w:val="000000"/>
                <w:szCs w:val="22"/>
              </w:rPr>
              <w:t>.</w:t>
            </w:r>
            <w:r w:rsidRPr="006A5274">
              <w:rPr>
                <w:rFonts w:eastAsia="Times New Roman" w:cs="Times New Roman"/>
                <w:color w:val="000000"/>
                <w:szCs w:val="22"/>
              </w:rPr>
              <w:t>44</w:t>
            </w:r>
          </w:p>
        </w:tc>
        <w:tc>
          <w:tcPr>
            <w:tcW w:w="880" w:type="pct"/>
            <w:noWrap/>
            <w:vAlign w:val="center"/>
            <w:hideMark/>
          </w:tcPr>
          <w:p w14:paraId="2AC2B32B" w14:textId="0D44CCAC"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0A605097" w14:textId="0D6F4F9C"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94</w:t>
            </w:r>
          </w:p>
        </w:tc>
      </w:tr>
      <w:tr w:rsidR="002574F9" w:rsidRPr="006A5274" w14:paraId="164E4BCB" w14:textId="77777777" w:rsidTr="006A5274">
        <w:trPr>
          <w:trHeight w:val="20"/>
          <w:jc w:val="center"/>
        </w:trPr>
        <w:tc>
          <w:tcPr>
            <w:tcW w:w="689" w:type="pct"/>
            <w:noWrap/>
            <w:vAlign w:val="center"/>
            <w:hideMark/>
          </w:tcPr>
          <w:p w14:paraId="27801242"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lastRenderedPageBreak/>
              <w:t>10</w:t>
            </w:r>
          </w:p>
        </w:tc>
        <w:tc>
          <w:tcPr>
            <w:tcW w:w="1653" w:type="pct"/>
            <w:noWrap/>
            <w:vAlign w:val="center"/>
            <w:hideMark/>
          </w:tcPr>
          <w:p w14:paraId="774932D5" w14:textId="77777777" w:rsidR="002574F9" w:rsidRPr="006A5274" w:rsidRDefault="002574F9" w:rsidP="006A5274">
            <w:pPr>
              <w:jc w:val="center"/>
              <w:rPr>
                <w:rFonts w:eastAsia="Times New Roman" w:cs="Times New Roman"/>
                <w:i/>
                <w:color w:val="000000"/>
                <w:szCs w:val="22"/>
              </w:rPr>
            </w:pPr>
            <w:r w:rsidRPr="006A5274">
              <w:rPr>
                <w:rFonts w:eastAsia="Times New Roman" w:cs="Times New Roman"/>
                <w:i/>
                <w:color w:val="000000"/>
                <w:szCs w:val="22"/>
              </w:rPr>
              <w:t>S. acuminate</w:t>
            </w:r>
          </w:p>
        </w:tc>
        <w:tc>
          <w:tcPr>
            <w:tcW w:w="862" w:type="pct"/>
            <w:noWrap/>
            <w:vAlign w:val="center"/>
            <w:hideMark/>
          </w:tcPr>
          <w:p w14:paraId="4E3012CF" w14:textId="7C81D29D"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0</w:t>
            </w:r>
            <w:r w:rsidR="00A91959">
              <w:rPr>
                <w:rFonts w:eastAsia="Times New Roman" w:cs="Times New Roman"/>
                <w:color w:val="000000"/>
                <w:szCs w:val="22"/>
              </w:rPr>
              <w:t>.</w:t>
            </w:r>
            <w:r w:rsidRPr="006A5274">
              <w:rPr>
                <w:rFonts w:eastAsia="Times New Roman" w:cs="Times New Roman"/>
                <w:color w:val="000000"/>
                <w:szCs w:val="22"/>
              </w:rPr>
              <w:t>44</w:t>
            </w:r>
          </w:p>
        </w:tc>
        <w:tc>
          <w:tcPr>
            <w:tcW w:w="880" w:type="pct"/>
            <w:noWrap/>
            <w:vAlign w:val="center"/>
            <w:hideMark/>
          </w:tcPr>
          <w:p w14:paraId="254E6BBD" w14:textId="762F779F"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4C87F1A6" w14:textId="54B51D09"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94</w:t>
            </w:r>
          </w:p>
        </w:tc>
      </w:tr>
      <w:tr w:rsidR="002574F9" w:rsidRPr="006A5274" w14:paraId="34859470" w14:textId="77777777" w:rsidTr="006A5274">
        <w:trPr>
          <w:trHeight w:val="20"/>
          <w:jc w:val="center"/>
        </w:trPr>
        <w:tc>
          <w:tcPr>
            <w:tcW w:w="689" w:type="pct"/>
            <w:noWrap/>
            <w:vAlign w:val="center"/>
            <w:hideMark/>
          </w:tcPr>
          <w:p w14:paraId="54BE6018"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11</w:t>
            </w:r>
          </w:p>
        </w:tc>
        <w:tc>
          <w:tcPr>
            <w:tcW w:w="1653" w:type="pct"/>
            <w:noWrap/>
            <w:vAlign w:val="center"/>
            <w:hideMark/>
          </w:tcPr>
          <w:p w14:paraId="26795F26" w14:textId="5C392648"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S. leprosula</w:t>
            </w:r>
          </w:p>
        </w:tc>
        <w:tc>
          <w:tcPr>
            <w:tcW w:w="862" w:type="pct"/>
            <w:noWrap/>
            <w:vAlign w:val="center"/>
            <w:hideMark/>
          </w:tcPr>
          <w:p w14:paraId="1943F3E6" w14:textId="280FDFDC"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0</w:t>
            </w:r>
            <w:r w:rsidR="00A91959">
              <w:rPr>
                <w:rFonts w:eastAsia="Times New Roman" w:cs="Times New Roman"/>
                <w:color w:val="000000"/>
                <w:szCs w:val="22"/>
              </w:rPr>
              <w:t>.</w:t>
            </w:r>
            <w:r w:rsidRPr="006A5274">
              <w:rPr>
                <w:rFonts w:eastAsia="Times New Roman" w:cs="Times New Roman"/>
                <w:color w:val="000000"/>
                <w:szCs w:val="22"/>
              </w:rPr>
              <w:t>44</w:t>
            </w:r>
          </w:p>
        </w:tc>
        <w:tc>
          <w:tcPr>
            <w:tcW w:w="880" w:type="pct"/>
            <w:noWrap/>
            <w:vAlign w:val="center"/>
            <w:hideMark/>
          </w:tcPr>
          <w:p w14:paraId="5EF06FC8" w14:textId="0C12A1C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48FD3275" w14:textId="68457A60"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94</w:t>
            </w:r>
          </w:p>
        </w:tc>
      </w:tr>
      <w:tr w:rsidR="002574F9" w:rsidRPr="006A5274" w14:paraId="455E4DAC" w14:textId="77777777" w:rsidTr="006A5274">
        <w:trPr>
          <w:trHeight w:val="20"/>
          <w:jc w:val="center"/>
        </w:trPr>
        <w:tc>
          <w:tcPr>
            <w:tcW w:w="689" w:type="pct"/>
            <w:noWrap/>
            <w:vAlign w:val="center"/>
            <w:hideMark/>
          </w:tcPr>
          <w:p w14:paraId="039C4FAD"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12</w:t>
            </w:r>
          </w:p>
        </w:tc>
        <w:tc>
          <w:tcPr>
            <w:tcW w:w="1653" w:type="pct"/>
            <w:noWrap/>
            <w:vAlign w:val="center"/>
            <w:hideMark/>
          </w:tcPr>
          <w:p w14:paraId="1EA96229" w14:textId="177E8DCC"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S. platyclados</w:t>
            </w:r>
          </w:p>
        </w:tc>
        <w:tc>
          <w:tcPr>
            <w:tcW w:w="862" w:type="pct"/>
            <w:noWrap/>
            <w:vAlign w:val="center"/>
            <w:hideMark/>
          </w:tcPr>
          <w:p w14:paraId="63278F37" w14:textId="5119DA9C"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0</w:t>
            </w:r>
            <w:r w:rsidR="00A91959">
              <w:rPr>
                <w:rFonts w:eastAsia="Times New Roman" w:cs="Times New Roman"/>
                <w:color w:val="000000"/>
                <w:szCs w:val="22"/>
              </w:rPr>
              <w:t>.</w:t>
            </w:r>
            <w:r w:rsidRPr="006A5274">
              <w:rPr>
                <w:rFonts w:eastAsia="Times New Roman" w:cs="Times New Roman"/>
                <w:color w:val="000000"/>
                <w:szCs w:val="22"/>
              </w:rPr>
              <w:t>44</w:t>
            </w:r>
          </w:p>
        </w:tc>
        <w:tc>
          <w:tcPr>
            <w:tcW w:w="880" w:type="pct"/>
            <w:noWrap/>
            <w:vAlign w:val="center"/>
            <w:hideMark/>
          </w:tcPr>
          <w:p w14:paraId="7FAE2664" w14:textId="27224B59"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5703BC5E" w14:textId="2F79C9CF"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94</w:t>
            </w:r>
          </w:p>
        </w:tc>
      </w:tr>
      <w:tr w:rsidR="002574F9" w:rsidRPr="006A5274" w14:paraId="4056988E" w14:textId="77777777" w:rsidTr="006A5274">
        <w:trPr>
          <w:trHeight w:val="20"/>
          <w:jc w:val="center"/>
        </w:trPr>
        <w:tc>
          <w:tcPr>
            <w:tcW w:w="689" w:type="pct"/>
            <w:noWrap/>
            <w:vAlign w:val="center"/>
            <w:hideMark/>
          </w:tcPr>
          <w:p w14:paraId="4DD68C10"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13</w:t>
            </w:r>
          </w:p>
        </w:tc>
        <w:tc>
          <w:tcPr>
            <w:tcW w:w="1653" w:type="pct"/>
            <w:noWrap/>
            <w:vAlign w:val="center"/>
            <w:hideMark/>
          </w:tcPr>
          <w:p w14:paraId="3AC80DB7" w14:textId="77777777"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S. selanica</w:t>
            </w:r>
          </w:p>
        </w:tc>
        <w:tc>
          <w:tcPr>
            <w:tcW w:w="862" w:type="pct"/>
            <w:noWrap/>
            <w:vAlign w:val="center"/>
            <w:hideMark/>
          </w:tcPr>
          <w:p w14:paraId="27C2FF65" w14:textId="44B2E644"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0</w:t>
            </w:r>
            <w:r w:rsidR="00A91959">
              <w:rPr>
                <w:rFonts w:eastAsia="Times New Roman" w:cs="Times New Roman"/>
                <w:color w:val="000000"/>
                <w:szCs w:val="22"/>
              </w:rPr>
              <w:t>.</w:t>
            </w:r>
            <w:r w:rsidRPr="006A5274">
              <w:rPr>
                <w:rFonts w:eastAsia="Times New Roman" w:cs="Times New Roman"/>
                <w:color w:val="000000"/>
                <w:szCs w:val="22"/>
              </w:rPr>
              <w:t>44</w:t>
            </w:r>
          </w:p>
        </w:tc>
        <w:tc>
          <w:tcPr>
            <w:tcW w:w="880" w:type="pct"/>
            <w:noWrap/>
            <w:vAlign w:val="center"/>
            <w:hideMark/>
          </w:tcPr>
          <w:p w14:paraId="7ECC9E54" w14:textId="5436FCDC"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0AE2F827" w14:textId="20A10D66"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94</w:t>
            </w:r>
          </w:p>
        </w:tc>
      </w:tr>
      <w:tr w:rsidR="002574F9" w:rsidRPr="006A5274" w14:paraId="31FBDC72" w14:textId="77777777" w:rsidTr="006A5274">
        <w:trPr>
          <w:trHeight w:val="20"/>
          <w:jc w:val="center"/>
        </w:trPr>
        <w:tc>
          <w:tcPr>
            <w:tcW w:w="689" w:type="pct"/>
            <w:noWrap/>
            <w:vAlign w:val="center"/>
            <w:hideMark/>
          </w:tcPr>
          <w:p w14:paraId="552755C1"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14</w:t>
            </w:r>
          </w:p>
        </w:tc>
        <w:tc>
          <w:tcPr>
            <w:tcW w:w="1653" w:type="pct"/>
            <w:noWrap/>
            <w:vAlign w:val="center"/>
            <w:hideMark/>
          </w:tcPr>
          <w:p w14:paraId="6111A29B" w14:textId="6D128554" w:rsidR="002574F9" w:rsidRPr="006A5274" w:rsidRDefault="002574F9" w:rsidP="006A5274">
            <w:pPr>
              <w:jc w:val="center"/>
              <w:rPr>
                <w:rFonts w:eastAsia="Times New Roman" w:cs="Times New Roman"/>
                <w:i/>
                <w:color w:val="000000"/>
                <w:szCs w:val="22"/>
              </w:rPr>
            </w:pPr>
            <w:r w:rsidRPr="006A5274">
              <w:rPr>
                <w:rFonts w:eastAsia="Times New Roman" w:cs="Times New Roman"/>
                <w:i/>
                <w:szCs w:val="22"/>
              </w:rPr>
              <w:t>V. lowii</w:t>
            </w:r>
          </w:p>
        </w:tc>
        <w:tc>
          <w:tcPr>
            <w:tcW w:w="862" w:type="pct"/>
            <w:noWrap/>
            <w:vAlign w:val="center"/>
            <w:hideMark/>
          </w:tcPr>
          <w:p w14:paraId="7C97F7CF" w14:textId="7BE2026F"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0</w:t>
            </w:r>
            <w:r w:rsidR="00A91959">
              <w:rPr>
                <w:rFonts w:eastAsia="Times New Roman" w:cs="Times New Roman"/>
                <w:color w:val="000000"/>
                <w:szCs w:val="22"/>
              </w:rPr>
              <w:t>.</w:t>
            </w:r>
            <w:r w:rsidRPr="006A5274">
              <w:rPr>
                <w:rFonts w:eastAsia="Times New Roman" w:cs="Times New Roman"/>
                <w:color w:val="000000"/>
                <w:szCs w:val="22"/>
              </w:rPr>
              <w:t>44</w:t>
            </w:r>
          </w:p>
        </w:tc>
        <w:tc>
          <w:tcPr>
            <w:tcW w:w="880" w:type="pct"/>
            <w:noWrap/>
            <w:vAlign w:val="center"/>
            <w:hideMark/>
          </w:tcPr>
          <w:p w14:paraId="6D0AC8CB" w14:textId="0188C4FA"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50</w:t>
            </w:r>
          </w:p>
        </w:tc>
        <w:tc>
          <w:tcPr>
            <w:tcW w:w="917" w:type="pct"/>
            <w:noWrap/>
            <w:vAlign w:val="center"/>
            <w:hideMark/>
          </w:tcPr>
          <w:p w14:paraId="51C5F2AE" w14:textId="556960F0"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w:t>
            </w:r>
            <w:r w:rsidR="00A91959">
              <w:rPr>
                <w:rFonts w:eastAsia="Times New Roman" w:cs="Times New Roman"/>
                <w:color w:val="000000"/>
                <w:szCs w:val="22"/>
              </w:rPr>
              <w:t>.</w:t>
            </w:r>
            <w:r w:rsidRPr="006A5274">
              <w:rPr>
                <w:rFonts w:eastAsia="Times New Roman" w:cs="Times New Roman"/>
                <w:color w:val="000000"/>
                <w:szCs w:val="22"/>
              </w:rPr>
              <w:t>94</w:t>
            </w:r>
          </w:p>
        </w:tc>
      </w:tr>
      <w:tr w:rsidR="002574F9" w:rsidRPr="006A5274" w14:paraId="5FBCA3A2" w14:textId="77777777" w:rsidTr="006A5274">
        <w:trPr>
          <w:trHeight w:val="20"/>
          <w:jc w:val="center"/>
        </w:trPr>
        <w:tc>
          <w:tcPr>
            <w:tcW w:w="689" w:type="pct"/>
            <w:tcBorders>
              <w:top w:val="single" w:sz="4" w:space="0" w:color="auto"/>
              <w:left w:val="nil"/>
              <w:bottom w:val="single" w:sz="4" w:space="0" w:color="auto"/>
              <w:right w:val="nil"/>
            </w:tcBorders>
            <w:noWrap/>
            <w:vAlign w:val="center"/>
            <w:hideMark/>
          </w:tcPr>
          <w:p w14:paraId="2644D616" w14:textId="7A91C685"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Total</w:t>
            </w:r>
          </w:p>
        </w:tc>
        <w:tc>
          <w:tcPr>
            <w:tcW w:w="1653" w:type="pct"/>
            <w:tcBorders>
              <w:top w:val="single" w:sz="4" w:space="0" w:color="auto"/>
              <w:left w:val="nil"/>
              <w:bottom w:val="single" w:sz="4" w:space="0" w:color="auto"/>
              <w:right w:val="nil"/>
            </w:tcBorders>
            <w:noWrap/>
            <w:vAlign w:val="center"/>
            <w:hideMark/>
          </w:tcPr>
          <w:p w14:paraId="39D5C736" w14:textId="4579E8CF" w:rsidR="002574F9" w:rsidRPr="006A5274" w:rsidRDefault="002574F9" w:rsidP="006A5274">
            <w:pPr>
              <w:jc w:val="center"/>
              <w:rPr>
                <w:rFonts w:eastAsia="Times New Roman" w:cs="Times New Roman"/>
                <w:color w:val="000000"/>
                <w:szCs w:val="22"/>
              </w:rPr>
            </w:pPr>
          </w:p>
        </w:tc>
        <w:tc>
          <w:tcPr>
            <w:tcW w:w="862" w:type="pct"/>
            <w:tcBorders>
              <w:top w:val="single" w:sz="4" w:space="0" w:color="auto"/>
              <w:left w:val="nil"/>
              <w:bottom w:val="single" w:sz="4" w:space="0" w:color="auto"/>
              <w:right w:val="nil"/>
            </w:tcBorders>
            <w:noWrap/>
            <w:vAlign w:val="center"/>
            <w:hideMark/>
          </w:tcPr>
          <w:p w14:paraId="59482574"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100</w:t>
            </w:r>
          </w:p>
        </w:tc>
        <w:tc>
          <w:tcPr>
            <w:tcW w:w="880" w:type="pct"/>
            <w:tcBorders>
              <w:top w:val="single" w:sz="4" w:space="0" w:color="auto"/>
              <w:left w:val="nil"/>
              <w:bottom w:val="single" w:sz="4" w:space="0" w:color="auto"/>
              <w:right w:val="nil"/>
            </w:tcBorders>
            <w:noWrap/>
            <w:vAlign w:val="center"/>
            <w:hideMark/>
          </w:tcPr>
          <w:p w14:paraId="3FD1ADE1"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100</w:t>
            </w:r>
          </w:p>
        </w:tc>
        <w:tc>
          <w:tcPr>
            <w:tcW w:w="917" w:type="pct"/>
            <w:tcBorders>
              <w:top w:val="single" w:sz="4" w:space="0" w:color="auto"/>
              <w:left w:val="nil"/>
              <w:bottom w:val="single" w:sz="4" w:space="0" w:color="auto"/>
              <w:right w:val="nil"/>
            </w:tcBorders>
            <w:noWrap/>
            <w:vAlign w:val="center"/>
            <w:hideMark/>
          </w:tcPr>
          <w:p w14:paraId="6A08694D" w14:textId="77777777" w:rsidR="002574F9" w:rsidRPr="006A5274" w:rsidRDefault="002574F9" w:rsidP="006A5274">
            <w:pPr>
              <w:jc w:val="center"/>
              <w:rPr>
                <w:rFonts w:eastAsia="Times New Roman" w:cs="Times New Roman"/>
                <w:color w:val="000000"/>
                <w:szCs w:val="22"/>
              </w:rPr>
            </w:pPr>
            <w:r w:rsidRPr="006A5274">
              <w:rPr>
                <w:rFonts w:eastAsia="Times New Roman" w:cs="Times New Roman"/>
                <w:color w:val="000000"/>
                <w:szCs w:val="22"/>
              </w:rPr>
              <w:t>200</w:t>
            </w:r>
          </w:p>
        </w:tc>
      </w:tr>
    </w:tbl>
    <w:p w14:paraId="71E1AA46" w14:textId="77777777" w:rsidR="00260581" w:rsidRDefault="00260581" w:rsidP="002574F9">
      <w:pPr>
        <w:spacing w:after="240"/>
      </w:pPr>
    </w:p>
    <w:p w14:paraId="26FBB99F" w14:textId="625E90BC" w:rsidR="002574F9" w:rsidRPr="002574F9" w:rsidRDefault="002574F9" w:rsidP="002574F9">
      <w:pPr>
        <w:pStyle w:val="Els-body-text"/>
        <w:spacing w:after="240"/>
        <w:rPr>
          <w:rFonts w:eastAsiaTheme="minorHAnsi"/>
          <w:szCs w:val="22"/>
          <w:lang w:val="en-ID"/>
        </w:rPr>
      </w:pPr>
      <w:r w:rsidRPr="002574F9">
        <w:rPr>
          <w:rFonts w:eastAsiaTheme="minorHAnsi"/>
          <w:szCs w:val="22"/>
          <w:lang w:val="en-ID"/>
        </w:rPr>
        <w:t>The seedling level, H. beccariana</w:t>
      </w:r>
      <w:r w:rsidR="006A5274">
        <w:rPr>
          <w:rFonts w:eastAsiaTheme="minorHAnsi"/>
          <w:szCs w:val="22"/>
          <w:lang w:val="en-ID"/>
        </w:rPr>
        <w:t>,</w:t>
      </w:r>
      <w:r w:rsidRPr="002574F9">
        <w:rPr>
          <w:rFonts w:eastAsiaTheme="minorHAnsi"/>
          <w:szCs w:val="22"/>
          <w:lang w:val="en-ID"/>
        </w:rPr>
        <w:t xml:space="preserve"> had the highest IVI value (52.46%), followed by </w:t>
      </w:r>
      <w:r w:rsidRPr="002574F9">
        <w:rPr>
          <w:rFonts w:eastAsiaTheme="minorHAnsi"/>
          <w:i/>
          <w:iCs/>
          <w:szCs w:val="22"/>
          <w:lang w:val="en-ID"/>
        </w:rPr>
        <w:t>V. pauciflora</w:t>
      </w:r>
      <w:r w:rsidRPr="002574F9">
        <w:rPr>
          <w:rFonts w:eastAsiaTheme="minorHAnsi"/>
          <w:szCs w:val="22"/>
          <w:lang w:val="en-ID"/>
        </w:rPr>
        <w:t xml:space="preserve"> (40.88%), </w:t>
      </w:r>
      <w:r w:rsidRPr="002574F9">
        <w:rPr>
          <w:rFonts w:eastAsiaTheme="minorHAnsi"/>
          <w:i/>
          <w:iCs/>
          <w:szCs w:val="22"/>
          <w:lang w:val="en-ID"/>
        </w:rPr>
        <w:t>S. curtisii</w:t>
      </w:r>
      <w:r w:rsidRPr="002574F9">
        <w:rPr>
          <w:rFonts w:eastAsiaTheme="minorHAnsi"/>
          <w:szCs w:val="22"/>
          <w:lang w:val="en-ID"/>
        </w:rPr>
        <w:t xml:space="preserve"> (23.77%), </w:t>
      </w:r>
      <w:r w:rsidRPr="002574F9">
        <w:rPr>
          <w:rFonts w:eastAsiaTheme="minorHAnsi"/>
          <w:i/>
          <w:iCs/>
          <w:szCs w:val="22"/>
          <w:lang w:val="en-ID"/>
        </w:rPr>
        <w:t>H. mengarawan</w:t>
      </w:r>
      <w:r w:rsidRPr="002574F9">
        <w:rPr>
          <w:rFonts w:eastAsiaTheme="minorHAnsi"/>
          <w:szCs w:val="22"/>
          <w:lang w:val="en-ID"/>
        </w:rPr>
        <w:t xml:space="preserve"> (18.64%), and </w:t>
      </w:r>
      <w:r w:rsidRPr="002574F9">
        <w:rPr>
          <w:rFonts w:eastAsiaTheme="minorHAnsi"/>
          <w:i/>
          <w:iCs/>
          <w:szCs w:val="22"/>
          <w:lang w:val="en-ID"/>
        </w:rPr>
        <w:t>D. rigidus</w:t>
      </w:r>
      <w:r w:rsidRPr="002574F9">
        <w:rPr>
          <w:rFonts w:eastAsiaTheme="minorHAnsi"/>
          <w:szCs w:val="22"/>
          <w:lang w:val="en-ID"/>
        </w:rPr>
        <w:t xml:space="preserve"> (17.59%). The species with the highest IVI value at the seedling level in the study area was </w:t>
      </w:r>
      <w:r w:rsidRPr="002574F9">
        <w:rPr>
          <w:rFonts w:eastAsiaTheme="minorHAnsi"/>
          <w:i/>
          <w:iCs/>
          <w:szCs w:val="22"/>
          <w:lang w:val="en-ID"/>
        </w:rPr>
        <w:t>H. beccariana</w:t>
      </w:r>
      <w:r w:rsidRPr="002574F9">
        <w:rPr>
          <w:rFonts w:eastAsiaTheme="minorHAnsi"/>
          <w:szCs w:val="22"/>
          <w:lang w:val="en-ID"/>
        </w:rPr>
        <w:t xml:space="preserve"> (Merawan), which was the most frequently found species because this group produces abundant fruits during fruiting seasons and its seeds germinate easily on the forest floor [24]. </w:t>
      </w:r>
    </w:p>
    <w:p w14:paraId="5F7B6C5D" w14:textId="29AB8C95" w:rsidR="002574F9" w:rsidRPr="002574F9" w:rsidRDefault="002574F9" w:rsidP="002574F9">
      <w:pPr>
        <w:pStyle w:val="Els-body-text"/>
        <w:spacing w:after="240"/>
        <w:rPr>
          <w:rFonts w:eastAsiaTheme="minorHAnsi"/>
          <w:szCs w:val="22"/>
          <w:lang w:val="en-ID"/>
        </w:rPr>
      </w:pPr>
      <w:r w:rsidRPr="002574F9">
        <w:rPr>
          <w:rFonts w:eastAsiaTheme="minorHAnsi"/>
          <w:i/>
          <w:iCs/>
          <w:szCs w:val="22"/>
          <w:lang w:val="en-ID"/>
        </w:rPr>
        <w:t>H. beccariana</w:t>
      </w:r>
      <w:r w:rsidRPr="002574F9">
        <w:rPr>
          <w:rFonts w:eastAsiaTheme="minorHAnsi"/>
          <w:szCs w:val="22"/>
          <w:lang w:val="en-ID"/>
        </w:rPr>
        <w:t xml:space="preserve"> was also found throughout all research areas, indicating that this species has strong adaptability within lowland forest ecosystems. The small seeds</w:t>
      </w:r>
      <w:r w:rsidR="006A5274">
        <w:rPr>
          <w:rFonts w:eastAsiaTheme="minorHAnsi"/>
          <w:szCs w:val="22"/>
          <w:lang w:val="en-ID"/>
        </w:rPr>
        <w:t xml:space="preserve"> and the elongated shape of the seeds enable</w:t>
      </w:r>
      <w:r w:rsidRPr="002574F9">
        <w:rPr>
          <w:rFonts w:eastAsiaTheme="minorHAnsi"/>
          <w:szCs w:val="22"/>
          <w:lang w:val="en-ID"/>
        </w:rPr>
        <w:t xml:space="preserve"> widespread dispersal, extending well beyond the immediate vicinity of the parent tree. The dominance of Hopea species is supported by [24], who stated that Hopea seedlings are capable of growing under the shade of other trees, unlike species from the genus Dipterocarpus. Based on field observations, Hopea grew well, particularly at the mature seedling stage, </w:t>
      </w:r>
      <w:r w:rsidR="006A5274">
        <w:rPr>
          <w:rFonts w:eastAsiaTheme="minorHAnsi"/>
          <w:szCs w:val="22"/>
          <w:lang w:val="en-ID"/>
        </w:rPr>
        <w:t>in both open habitats and</w:t>
      </w:r>
      <w:r w:rsidRPr="002574F9">
        <w:rPr>
          <w:rFonts w:eastAsiaTheme="minorHAnsi"/>
          <w:szCs w:val="22"/>
          <w:lang w:val="en-ID"/>
        </w:rPr>
        <w:t xml:space="preserve"> shaded conditions. This phenomenon was also observed in </w:t>
      </w:r>
      <w:r w:rsidRPr="002574F9">
        <w:rPr>
          <w:rFonts w:eastAsiaTheme="minorHAnsi"/>
          <w:i/>
          <w:iCs/>
          <w:szCs w:val="22"/>
          <w:lang w:val="en-ID"/>
        </w:rPr>
        <w:t>S. curtisii, V. pauciflora</w:t>
      </w:r>
      <w:r w:rsidRPr="002574F9">
        <w:rPr>
          <w:rFonts w:eastAsiaTheme="minorHAnsi"/>
          <w:szCs w:val="22"/>
          <w:lang w:val="en-ID"/>
        </w:rPr>
        <w:t xml:space="preserve">, and </w:t>
      </w:r>
      <w:r w:rsidRPr="002574F9">
        <w:rPr>
          <w:rFonts w:eastAsiaTheme="minorHAnsi"/>
          <w:i/>
          <w:iCs/>
          <w:szCs w:val="22"/>
          <w:lang w:val="en-ID"/>
        </w:rPr>
        <w:t>V. cuspidata</w:t>
      </w:r>
      <w:r w:rsidRPr="002574F9">
        <w:rPr>
          <w:rFonts w:eastAsiaTheme="minorHAnsi"/>
          <w:szCs w:val="22"/>
          <w:lang w:val="en-ID"/>
        </w:rPr>
        <w:t xml:space="preserve">. This finding differs from the study conducted in the Pulau Weh Nature Tourism Park, Aceh, Indonesia, which identified two species from the Dipterocarpaceae family. At the seedling stage, the most dominant species was </w:t>
      </w:r>
      <w:r w:rsidRPr="002574F9">
        <w:rPr>
          <w:rFonts w:eastAsiaTheme="minorHAnsi"/>
          <w:i/>
          <w:iCs/>
          <w:szCs w:val="22"/>
          <w:lang w:val="en-ID"/>
        </w:rPr>
        <w:t>D. hasseltii</w:t>
      </w:r>
      <w:r w:rsidRPr="002574F9">
        <w:rPr>
          <w:rFonts w:eastAsiaTheme="minorHAnsi"/>
          <w:szCs w:val="22"/>
          <w:lang w:val="en-ID"/>
        </w:rPr>
        <w:t xml:space="preserve">, followed by S. sumatrana, with IVI values of 94.62% and 105.38%, respectively [25]. </w:t>
      </w:r>
    </w:p>
    <w:p w14:paraId="482E86A6" w14:textId="1CF90B9F" w:rsidR="00260581" w:rsidRDefault="002574F9" w:rsidP="002574F9">
      <w:pPr>
        <w:jc w:val="center"/>
      </w:pPr>
      <w:r w:rsidRPr="002574F9">
        <w:t>Table 3. IVI at the sapling level.</w:t>
      </w:r>
    </w:p>
    <w:tbl>
      <w:tblPr>
        <w:tblW w:w="5000" w:type="pct"/>
        <w:jc w:val="center"/>
        <w:tblLook w:val="04A0" w:firstRow="1" w:lastRow="0" w:firstColumn="1" w:lastColumn="0" w:noHBand="0" w:noVBand="1"/>
      </w:tblPr>
      <w:tblGrid>
        <w:gridCol w:w="1328"/>
        <w:gridCol w:w="3186"/>
        <w:gridCol w:w="1662"/>
        <w:gridCol w:w="1696"/>
        <w:gridCol w:w="1766"/>
      </w:tblGrid>
      <w:tr w:rsidR="00524C86" w:rsidRPr="00524C86" w14:paraId="36C963C6" w14:textId="77777777" w:rsidTr="006A5274">
        <w:trPr>
          <w:trHeight w:val="20"/>
          <w:jc w:val="center"/>
        </w:trPr>
        <w:tc>
          <w:tcPr>
            <w:tcW w:w="689" w:type="pct"/>
            <w:tcBorders>
              <w:top w:val="single" w:sz="4" w:space="0" w:color="auto"/>
              <w:left w:val="nil"/>
              <w:bottom w:val="single" w:sz="4" w:space="0" w:color="auto"/>
              <w:right w:val="nil"/>
            </w:tcBorders>
            <w:noWrap/>
            <w:vAlign w:val="center"/>
            <w:hideMark/>
          </w:tcPr>
          <w:p w14:paraId="440B0378"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No</w:t>
            </w:r>
          </w:p>
        </w:tc>
        <w:tc>
          <w:tcPr>
            <w:tcW w:w="1653" w:type="pct"/>
            <w:tcBorders>
              <w:top w:val="single" w:sz="4" w:space="0" w:color="auto"/>
              <w:left w:val="nil"/>
              <w:bottom w:val="single" w:sz="4" w:space="0" w:color="auto"/>
              <w:right w:val="nil"/>
            </w:tcBorders>
            <w:noWrap/>
            <w:vAlign w:val="center"/>
            <w:hideMark/>
          </w:tcPr>
          <w:p w14:paraId="7590E9E2" w14:textId="353CF23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Species</w:t>
            </w:r>
          </w:p>
        </w:tc>
        <w:tc>
          <w:tcPr>
            <w:tcW w:w="862" w:type="pct"/>
            <w:tcBorders>
              <w:top w:val="single" w:sz="4" w:space="0" w:color="auto"/>
              <w:left w:val="nil"/>
              <w:bottom w:val="single" w:sz="4" w:space="0" w:color="auto"/>
              <w:right w:val="nil"/>
            </w:tcBorders>
            <w:noWrap/>
            <w:vAlign w:val="center"/>
            <w:hideMark/>
          </w:tcPr>
          <w:p w14:paraId="53697464"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RD(%)</w:t>
            </w:r>
          </w:p>
        </w:tc>
        <w:tc>
          <w:tcPr>
            <w:tcW w:w="880" w:type="pct"/>
            <w:tcBorders>
              <w:top w:val="single" w:sz="4" w:space="0" w:color="auto"/>
              <w:left w:val="nil"/>
              <w:bottom w:val="single" w:sz="4" w:space="0" w:color="auto"/>
              <w:right w:val="nil"/>
            </w:tcBorders>
            <w:noWrap/>
            <w:vAlign w:val="center"/>
            <w:hideMark/>
          </w:tcPr>
          <w:p w14:paraId="0FA312BF"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RF (%)</w:t>
            </w:r>
          </w:p>
        </w:tc>
        <w:tc>
          <w:tcPr>
            <w:tcW w:w="917" w:type="pct"/>
            <w:tcBorders>
              <w:top w:val="single" w:sz="4" w:space="0" w:color="auto"/>
              <w:left w:val="nil"/>
              <w:bottom w:val="single" w:sz="4" w:space="0" w:color="auto"/>
              <w:right w:val="nil"/>
            </w:tcBorders>
            <w:noWrap/>
            <w:vAlign w:val="center"/>
            <w:hideMark/>
          </w:tcPr>
          <w:p w14:paraId="7E12EADF"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IVI (%)</w:t>
            </w:r>
          </w:p>
        </w:tc>
      </w:tr>
      <w:tr w:rsidR="00524C86" w:rsidRPr="00524C86" w14:paraId="73FE120F" w14:textId="77777777" w:rsidTr="006A5274">
        <w:trPr>
          <w:trHeight w:val="20"/>
          <w:jc w:val="center"/>
        </w:trPr>
        <w:tc>
          <w:tcPr>
            <w:tcW w:w="689" w:type="pct"/>
            <w:noWrap/>
            <w:vAlign w:val="center"/>
            <w:hideMark/>
          </w:tcPr>
          <w:p w14:paraId="67057905"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p>
        </w:tc>
        <w:tc>
          <w:tcPr>
            <w:tcW w:w="1653" w:type="pct"/>
            <w:noWrap/>
            <w:vAlign w:val="center"/>
            <w:hideMark/>
          </w:tcPr>
          <w:p w14:paraId="5800A9B4" w14:textId="7E2509C2"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H.beccariana</w:t>
            </w:r>
          </w:p>
        </w:tc>
        <w:tc>
          <w:tcPr>
            <w:tcW w:w="862" w:type="pct"/>
            <w:noWrap/>
            <w:vAlign w:val="center"/>
            <w:hideMark/>
          </w:tcPr>
          <w:p w14:paraId="2C7B4605" w14:textId="0161C6E0"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81</w:t>
            </w:r>
          </w:p>
        </w:tc>
        <w:tc>
          <w:tcPr>
            <w:tcW w:w="880" w:type="pct"/>
            <w:noWrap/>
            <w:vAlign w:val="center"/>
            <w:hideMark/>
          </w:tcPr>
          <w:p w14:paraId="1039E950" w14:textId="3BEF635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24</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59</w:t>
            </w:r>
          </w:p>
        </w:tc>
        <w:tc>
          <w:tcPr>
            <w:tcW w:w="917" w:type="pct"/>
            <w:noWrap/>
            <w:vAlign w:val="center"/>
            <w:hideMark/>
          </w:tcPr>
          <w:p w14:paraId="18B85E15" w14:textId="208FB61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40</w:t>
            </w:r>
          </w:p>
        </w:tc>
      </w:tr>
      <w:tr w:rsidR="00524C86" w:rsidRPr="00524C86" w14:paraId="195CF09C" w14:textId="77777777" w:rsidTr="006A5274">
        <w:trPr>
          <w:trHeight w:val="20"/>
          <w:jc w:val="center"/>
        </w:trPr>
        <w:tc>
          <w:tcPr>
            <w:tcW w:w="689" w:type="pct"/>
            <w:noWrap/>
            <w:vAlign w:val="center"/>
            <w:hideMark/>
          </w:tcPr>
          <w:p w14:paraId="7507BFC2"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p>
        </w:tc>
        <w:tc>
          <w:tcPr>
            <w:tcW w:w="1653" w:type="pct"/>
            <w:noWrap/>
            <w:vAlign w:val="center"/>
            <w:hideMark/>
          </w:tcPr>
          <w:p w14:paraId="45546E7C" w14:textId="6DF45940"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curtisii</w:t>
            </w:r>
          </w:p>
        </w:tc>
        <w:tc>
          <w:tcPr>
            <w:tcW w:w="862" w:type="pct"/>
            <w:noWrap/>
            <w:vAlign w:val="center"/>
            <w:hideMark/>
          </w:tcPr>
          <w:p w14:paraId="531F725F" w14:textId="57BECA1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93</w:t>
            </w:r>
          </w:p>
        </w:tc>
        <w:tc>
          <w:tcPr>
            <w:tcW w:w="880" w:type="pct"/>
            <w:noWrap/>
            <w:vAlign w:val="center"/>
            <w:hideMark/>
          </w:tcPr>
          <w:p w14:paraId="787392DB" w14:textId="732EF9F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18</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03</w:t>
            </w:r>
          </w:p>
        </w:tc>
        <w:tc>
          <w:tcPr>
            <w:tcW w:w="917" w:type="pct"/>
            <w:noWrap/>
            <w:vAlign w:val="center"/>
            <w:hideMark/>
          </w:tcPr>
          <w:p w14:paraId="04D5CE6D" w14:textId="5CC178F9"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38</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96</w:t>
            </w:r>
          </w:p>
        </w:tc>
      </w:tr>
      <w:tr w:rsidR="00524C86" w:rsidRPr="00524C86" w14:paraId="0187B92E" w14:textId="77777777" w:rsidTr="006A5274">
        <w:trPr>
          <w:trHeight w:val="20"/>
          <w:jc w:val="center"/>
        </w:trPr>
        <w:tc>
          <w:tcPr>
            <w:tcW w:w="689" w:type="pct"/>
            <w:noWrap/>
            <w:vAlign w:val="center"/>
            <w:hideMark/>
          </w:tcPr>
          <w:p w14:paraId="1D874F50"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p>
        </w:tc>
        <w:tc>
          <w:tcPr>
            <w:tcW w:w="1653" w:type="pct"/>
            <w:noWrap/>
            <w:vAlign w:val="center"/>
            <w:hideMark/>
          </w:tcPr>
          <w:p w14:paraId="6AFA8434" w14:textId="5210DD2B"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V. pauciflora</w:t>
            </w:r>
          </w:p>
        </w:tc>
        <w:tc>
          <w:tcPr>
            <w:tcW w:w="862" w:type="pct"/>
            <w:noWrap/>
            <w:vAlign w:val="center"/>
            <w:hideMark/>
          </w:tcPr>
          <w:p w14:paraId="27AEBE6C" w14:textId="624EF0F9"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95</w:t>
            </w:r>
          </w:p>
        </w:tc>
        <w:tc>
          <w:tcPr>
            <w:tcW w:w="880" w:type="pct"/>
            <w:noWrap/>
            <w:vAlign w:val="center"/>
            <w:hideMark/>
          </w:tcPr>
          <w:p w14:paraId="75CBEEB4" w14:textId="6E845E68"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48</w:t>
            </w:r>
          </w:p>
        </w:tc>
        <w:tc>
          <w:tcPr>
            <w:tcW w:w="917" w:type="pct"/>
            <w:noWrap/>
            <w:vAlign w:val="center"/>
            <w:hideMark/>
          </w:tcPr>
          <w:p w14:paraId="2B915572" w14:textId="2023AE40"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43</w:t>
            </w:r>
          </w:p>
        </w:tc>
      </w:tr>
      <w:tr w:rsidR="00524C86" w:rsidRPr="00524C86" w14:paraId="0CB4EE0C" w14:textId="77777777" w:rsidTr="006A5274">
        <w:trPr>
          <w:trHeight w:val="20"/>
          <w:jc w:val="center"/>
        </w:trPr>
        <w:tc>
          <w:tcPr>
            <w:tcW w:w="689" w:type="pct"/>
            <w:noWrap/>
            <w:vAlign w:val="center"/>
            <w:hideMark/>
          </w:tcPr>
          <w:p w14:paraId="4ED7C71E"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4</w:t>
            </w:r>
          </w:p>
        </w:tc>
        <w:tc>
          <w:tcPr>
            <w:tcW w:w="1653" w:type="pct"/>
            <w:noWrap/>
            <w:vAlign w:val="center"/>
            <w:hideMark/>
          </w:tcPr>
          <w:p w14:paraId="46FEA696" w14:textId="6C018A44"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H. mengarawan</w:t>
            </w:r>
          </w:p>
        </w:tc>
        <w:tc>
          <w:tcPr>
            <w:tcW w:w="862" w:type="pct"/>
            <w:noWrap/>
            <w:vAlign w:val="center"/>
            <w:hideMark/>
          </w:tcPr>
          <w:p w14:paraId="3249A1E2" w14:textId="78C2E43B"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21</w:t>
            </w:r>
          </w:p>
        </w:tc>
        <w:tc>
          <w:tcPr>
            <w:tcW w:w="880" w:type="pct"/>
            <w:noWrap/>
            <w:vAlign w:val="center"/>
            <w:hideMark/>
          </w:tcPr>
          <w:p w14:paraId="4DD42954" w14:textId="4FDEF42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11</w:t>
            </w:r>
          </w:p>
        </w:tc>
        <w:tc>
          <w:tcPr>
            <w:tcW w:w="917" w:type="pct"/>
            <w:noWrap/>
            <w:vAlign w:val="center"/>
            <w:hideMark/>
          </w:tcPr>
          <w:p w14:paraId="5F424744" w14:textId="2774E8B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32</w:t>
            </w:r>
          </w:p>
        </w:tc>
      </w:tr>
      <w:tr w:rsidR="00524C86" w:rsidRPr="00524C86" w14:paraId="43B54554" w14:textId="77777777" w:rsidTr="006A5274">
        <w:trPr>
          <w:trHeight w:val="20"/>
          <w:jc w:val="center"/>
        </w:trPr>
        <w:tc>
          <w:tcPr>
            <w:tcW w:w="689" w:type="pct"/>
            <w:noWrap/>
            <w:vAlign w:val="center"/>
            <w:hideMark/>
          </w:tcPr>
          <w:p w14:paraId="141CFCE2"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p>
        </w:tc>
        <w:tc>
          <w:tcPr>
            <w:tcW w:w="1653" w:type="pct"/>
            <w:noWrap/>
            <w:vAlign w:val="center"/>
            <w:hideMark/>
          </w:tcPr>
          <w:p w14:paraId="371E1842"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V. cuspidata</w:t>
            </w:r>
          </w:p>
        </w:tc>
        <w:tc>
          <w:tcPr>
            <w:tcW w:w="862" w:type="pct"/>
            <w:noWrap/>
            <w:vAlign w:val="center"/>
            <w:hideMark/>
          </w:tcPr>
          <w:p w14:paraId="1895719F" w14:textId="7EA24608"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81</w:t>
            </w:r>
          </w:p>
        </w:tc>
        <w:tc>
          <w:tcPr>
            <w:tcW w:w="880" w:type="pct"/>
            <w:noWrap/>
            <w:vAlign w:val="center"/>
            <w:hideMark/>
          </w:tcPr>
          <w:p w14:paraId="3834ABD7" w14:textId="077A466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9</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84</w:t>
            </w:r>
          </w:p>
        </w:tc>
        <w:tc>
          <w:tcPr>
            <w:tcW w:w="917" w:type="pct"/>
            <w:noWrap/>
            <w:vAlign w:val="center"/>
            <w:hideMark/>
          </w:tcPr>
          <w:p w14:paraId="57B13118" w14:textId="491BBC9E"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65</w:t>
            </w:r>
          </w:p>
        </w:tc>
      </w:tr>
      <w:tr w:rsidR="00524C86" w:rsidRPr="00524C86" w14:paraId="0AB3392F" w14:textId="77777777" w:rsidTr="006A5274">
        <w:trPr>
          <w:trHeight w:val="20"/>
          <w:jc w:val="center"/>
        </w:trPr>
        <w:tc>
          <w:tcPr>
            <w:tcW w:w="689" w:type="pct"/>
            <w:noWrap/>
            <w:vAlign w:val="center"/>
            <w:hideMark/>
          </w:tcPr>
          <w:p w14:paraId="1C3178AA"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6</w:t>
            </w:r>
          </w:p>
        </w:tc>
        <w:tc>
          <w:tcPr>
            <w:tcW w:w="1653" w:type="pct"/>
            <w:noWrap/>
            <w:vAlign w:val="center"/>
            <w:hideMark/>
          </w:tcPr>
          <w:p w14:paraId="30EEE0BC"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D. rigidus.</w:t>
            </w:r>
          </w:p>
        </w:tc>
        <w:tc>
          <w:tcPr>
            <w:tcW w:w="862" w:type="pct"/>
            <w:noWrap/>
            <w:vAlign w:val="center"/>
            <w:hideMark/>
          </w:tcPr>
          <w:p w14:paraId="57305101" w14:textId="7E7B3102"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81</w:t>
            </w:r>
          </w:p>
        </w:tc>
        <w:tc>
          <w:tcPr>
            <w:tcW w:w="880" w:type="pct"/>
            <w:noWrap/>
            <w:vAlign w:val="center"/>
            <w:hideMark/>
          </w:tcPr>
          <w:p w14:paraId="73A082DB" w14:textId="72613149"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6</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56</w:t>
            </w:r>
          </w:p>
        </w:tc>
        <w:tc>
          <w:tcPr>
            <w:tcW w:w="917" w:type="pct"/>
            <w:noWrap/>
            <w:vAlign w:val="center"/>
            <w:hideMark/>
          </w:tcPr>
          <w:p w14:paraId="6FC8F02F" w14:textId="0584F90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37</w:t>
            </w:r>
          </w:p>
        </w:tc>
      </w:tr>
      <w:tr w:rsidR="00524C86" w:rsidRPr="00524C86" w14:paraId="0981C0D7" w14:textId="77777777" w:rsidTr="006A5274">
        <w:trPr>
          <w:trHeight w:val="20"/>
          <w:jc w:val="center"/>
        </w:trPr>
        <w:tc>
          <w:tcPr>
            <w:tcW w:w="689" w:type="pct"/>
            <w:noWrap/>
            <w:vAlign w:val="center"/>
            <w:hideMark/>
          </w:tcPr>
          <w:p w14:paraId="18A5682A"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7</w:t>
            </w:r>
          </w:p>
        </w:tc>
        <w:tc>
          <w:tcPr>
            <w:tcW w:w="1653" w:type="pct"/>
            <w:noWrap/>
            <w:vAlign w:val="center"/>
            <w:hideMark/>
          </w:tcPr>
          <w:p w14:paraId="1C99CD8E"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D. elongatus.</w:t>
            </w:r>
          </w:p>
        </w:tc>
        <w:tc>
          <w:tcPr>
            <w:tcW w:w="862" w:type="pct"/>
            <w:noWrap/>
            <w:vAlign w:val="center"/>
            <w:hideMark/>
          </w:tcPr>
          <w:p w14:paraId="536F8033" w14:textId="35D817C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33</w:t>
            </w:r>
          </w:p>
        </w:tc>
        <w:tc>
          <w:tcPr>
            <w:tcW w:w="880" w:type="pct"/>
            <w:noWrap/>
            <w:vAlign w:val="center"/>
            <w:hideMark/>
          </w:tcPr>
          <w:p w14:paraId="77960688" w14:textId="1C900FA2"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28</w:t>
            </w:r>
          </w:p>
        </w:tc>
        <w:tc>
          <w:tcPr>
            <w:tcW w:w="917" w:type="pct"/>
            <w:noWrap/>
            <w:vAlign w:val="center"/>
            <w:hideMark/>
          </w:tcPr>
          <w:p w14:paraId="51857FB9" w14:textId="441EB79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60</w:t>
            </w:r>
          </w:p>
        </w:tc>
      </w:tr>
      <w:tr w:rsidR="00524C86" w:rsidRPr="00524C86" w14:paraId="5D4FA5A8" w14:textId="77777777" w:rsidTr="006A5274">
        <w:trPr>
          <w:trHeight w:val="20"/>
          <w:jc w:val="center"/>
        </w:trPr>
        <w:tc>
          <w:tcPr>
            <w:tcW w:w="689" w:type="pct"/>
            <w:noWrap/>
            <w:vAlign w:val="center"/>
            <w:hideMark/>
          </w:tcPr>
          <w:p w14:paraId="51CFA968"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8</w:t>
            </w:r>
          </w:p>
        </w:tc>
        <w:tc>
          <w:tcPr>
            <w:tcW w:w="1653" w:type="pct"/>
            <w:noWrap/>
            <w:vAlign w:val="center"/>
            <w:hideMark/>
          </w:tcPr>
          <w:p w14:paraId="26A2E88E" w14:textId="12225621"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C. melanoxylon</w:t>
            </w:r>
          </w:p>
        </w:tc>
        <w:tc>
          <w:tcPr>
            <w:tcW w:w="862" w:type="pct"/>
            <w:noWrap/>
            <w:vAlign w:val="center"/>
            <w:hideMark/>
          </w:tcPr>
          <w:p w14:paraId="52C04708" w14:textId="6ADC009E"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74</w:t>
            </w:r>
          </w:p>
        </w:tc>
        <w:tc>
          <w:tcPr>
            <w:tcW w:w="880" w:type="pct"/>
            <w:noWrap/>
            <w:vAlign w:val="center"/>
            <w:hideMark/>
          </w:tcPr>
          <w:p w14:paraId="3571E7A2" w14:textId="6EBBD6B6"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6DCFF0A4" w14:textId="6B5456DF"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38</w:t>
            </w:r>
          </w:p>
        </w:tc>
      </w:tr>
      <w:tr w:rsidR="00524C86" w:rsidRPr="00524C86" w14:paraId="306DEB56" w14:textId="77777777" w:rsidTr="006A5274">
        <w:trPr>
          <w:trHeight w:val="20"/>
          <w:jc w:val="center"/>
        </w:trPr>
        <w:tc>
          <w:tcPr>
            <w:tcW w:w="689" w:type="pct"/>
            <w:noWrap/>
            <w:vAlign w:val="center"/>
            <w:hideMark/>
          </w:tcPr>
          <w:p w14:paraId="53931564"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9</w:t>
            </w:r>
          </w:p>
        </w:tc>
        <w:tc>
          <w:tcPr>
            <w:tcW w:w="1653" w:type="pct"/>
            <w:noWrap/>
            <w:vAlign w:val="center"/>
            <w:hideMark/>
          </w:tcPr>
          <w:p w14:paraId="4CA884BB"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color w:val="000000"/>
                <w:szCs w:val="22"/>
              </w:rPr>
              <w:t>D. aromatica</w:t>
            </w:r>
            <w:r w:rsidRPr="00524C86">
              <w:rPr>
                <w:rFonts w:asciiTheme="majorBidi" w:eastAsia="Times New Roman" w:hAnsiTheme="majorBidi" w:cstheme="majorBidi"/>
                <w:iCs/>
                <w:color w:val="000000"/>
                <w:szCs w:val="22"/>
              </w:rPr>
              <w:t>.</w:t>
            </w:r>
          </w:p>
        </w:tc>
        <w:tc>
          <w:tcPr>
            <w:tcW w:w="862" w:type="pct"/>
            <w:noWrap/>
            <w:vAlign w:val="center"/>
            <w:hideMark/>
          </w:tcPr>
          <w:p w14:paraId="77F8C6E2" w14:textId="3C569951"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74</w:t>
            </w:r>
          </w:p>
        </w:tc>
        <w:tc>
          <w:tcPr>
            <w:tcW w:w="880" w:type="pct"/>
            <w:noWrap/>
            <w:vAlign w:val="center"/>
            <w:hideMark/>
          </w:tcPr>
          <w:p w14:paraId="1DF2BAD9" w14:textId="377E5EA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03F6DC4B" w14:textId="0EE31340"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38</w:t>
            </w:r>
          </w:p>
        </w:tc>
      </w:tr>
      <w:tr w:rsidR="00524C86" w:rsidRPr="00524C86" w14:paraId="02CF446F" w14:textId="77777777" w:rsidTr="006A5274">
        <w:trPr>
          <w:trHeight w:val="20"/>
          <w:jc w:val="center"/>
        </w:trPr>
        <w:tc>
          <w:tcPr>
            <w:tcW w:w="689" w:type="pct"/>
            <w:noWrap/>
            <w:vAlign w:val="center"/>
            <w:hideMark/>
          </w:tcPr>
          <w:p w14:paraId="03E9FDAA"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w:t>
            </w:r>
          </w:p>
        </w:tc>
        <w:tc>
          <w:tcPr>
            <w:tcW w:w="1653" w:type="pct"/>
            <w:noWrap/>
            <w:vAlign w:val="center"/>
            <w:hideMark/>
          </w:tcPr>
          <w:p w14:paraId="42B517CF" w14:textId="4A4EFA8B"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falcifera</w:t>
            </w:r>
          </w:p>
        </w:tc>
        <w:tc>
          <w:tcPr>
            <w:tcW w:w="862" w:type="pct"/>
            <w:noWrap/>
            <w:vAlign w:val="center"/>
            <w:hideMark/>
          </w:tcPr>
          <w:p w14:paraId="385F2AC1" w14:textId="1C47C7E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16</w:t>
            </w:r>
          </w:p>
        </w:tc>
        <w:tc>
          <w:tcPr>
            <w:tcW w:w="880" w:type="pct"/>
            <w:noWrap/>
            <w:vAlign w:val="center"/>
            <w:hideMark/>
          </w:tcPr>
          <w:p w14:paraId="35F7FDB0" w14:textId="29220732"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05CC1F09" w14:textId="468DFBB6"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80</w:t>
            </w:r>
          </w:p>
        </w:tc>
      </w:tr>
      <w:tr w:rsidR="00524C86" w:rsidRPr="00524C86" w14:paraId="605ED8D3" w14:textId="77777777" w:rsidTr="006A5274">
        <w:trPr>
          <w:trHeight w:val="20"/>
          <w:jc w:val="center"/>
        </w:trPr>
        <w:tc>
          <w:tcPr>
            <w:tcW w:w="689" w:type="pct"/>
            <w:noWrap/>
            <w:vAlign w:val="center"/>
            <w:hideMark/>
          </w:tcPr>
          <w:p w14:paraId="64811796"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11</w:t>
            </w:r>
          </w:p>
        </w:tc>
        <w:tc>
          <w:tcPr>
            <w:tcW w:w="1653" w:type="pct"/>
            <w:noWrap/>
            <w:vAlign w:val="center"/>
            <w:hideMark/>
          </w:tcPr>
          <w:p w14:paraId="4772B75A"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johorensis</w:t>
            </w:r>
          </w:p>
        </w:tc>
        <w:tc>
          <w:tcPr>
            <w:tcW w:w="862" w:type="pct"/>
            <w:noWrap/>
            <w:vAlign w:val="center"/>
            <w:hideMark/>
          </w:tcPr>
          <w:p w14:paraId="16F0CAB8" w14:textId="4E567BB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16</w:t>
            </w:r>
          </w:p>
        </w:tc>
        <w:tc>
          <w:tcPr>
            <w:tcW w:w="880" w:type="pct"/>
            <w:noWrap/>
            <w:vAlign w:val="center"/>
            <w:hideMark/>
          </w:tcPr>
          <w:p w14:paraId="2E9DB236" w14:textId="156FC812"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72CA9263" w14:textId="6BEB2A5F"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80</w:t>
            </w:r>
          </w:p>
        </w:tc>
      </w:tr>
      <w:tr w:rsidR="00524C86" w:rsidRPr="00524C86" w14:paraId="7E4BFA1A" w14:textId="77777777" w:rsidTr="006A5274">
        <w:trPr>
          <w:trHeight w:val="20"/>
          <w:jc w:val="center"/>
        </w:trPr>
        <w:tc>
          <w:tcPr>
            <w:tcW w:w="689" w:type="pct"/>
            <w:noWrap/>
            <w:vAlign w:val="center"/>
            <w:hideMark/>
          </w:tcPr>
          <w:p w14:paraId="31B0F00B"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12</w:t>
            </w:r>
          </w:p>
        </w:tc>
        <w:tc>
          <w:tcPr>
            <w:tcW w:w="1653" w:type="pct"/>
            <w:noWrap/>
            <w:vAlign w:val="center"/>
            <w:hideMark/>
          </w:tcPr>
          <w:p w14:paraId="6BF5A438"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D. grandifloras</w:t>
            </w:r>
          </w:p>
        </w:tc>
        <w:tc>
          <w:tcPr>
            <w:tcW w:w="862" w:type="pct"/>
            <w:noWrap/>
            <w:vAlign w:val="center"/>
            <w:hideMark/>
          </w:tcPr>
          <w:p w14:paraId="49A9EA76" w14:textId="3663A2E3"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58</w:t>
            </w:r>
          </w:p>
        </w:tc>
        <w:tc>
          <w:tcPr>
            <w:tcW w:w="880" w:type="pct"/>
            <w:noWrap/>
            <w:vAlign w:val="center"/>
            <w:hideMark/>
          </w:tcPr>
          <w:p w14:paraId="16947CEC" w14:textId="4E494933"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59892B38" w14:textId="29905E39"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22</w:t>
            </w:r>
          </w:p>
        </w:tc>
      </w:tr>
      <w:tr w:rsidR="00524C86" w:rsidRPr="00524C86" w14:paraId="17A68D75" w14:textId="77777777" w:rsidTr="006A5274">
        <w:trPr>
          <w:trHeight w:val="20"/>
          <w:jc w:val="center"/>
        </w:trPr>
        <w:tc>
          <w:tcPr>
            <w:tcW w:w="689" w:type="pct"/>
            <w:noWrap/>
            <w:vAlign w:val="center"/>
            <w:hideMark/>
          </w:tcPr>
          <w:p w14:paraId="43C6B3D4"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13</w:t>
            </w:r>
          </w:p>
        </w:tc>
        <w:tc>
          <w:tcPr>
            <w:tcW w:w="1653" w:type="pct"/>
            <w:noWrap/>
            <w:vAlign w:val="center"/>
            <w:hideMark/>
          </w:tcPr>
          <w:p w14:paraId="38ED9393" w14:textId="52EE7612"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leprosula</w:t>
            </w:r>
          </w:p>
        </w:tc>
        <w:tc>
          <w:tcPr>
            <w:tcW w:w="862" w:type="pct"/>
            <w:noWrap/>
            <w:vAlign w:val="center"/>
            <w:hideMark/>
          </w:tcPr>
          <w:p w14:paraId="0D4333CA" w14:textId="0FA8485E"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58</w:t>
            </w:r>
          </w:p>
        </w:tc>
        <w:tc>
          <w:tcPr>
            <w:tcW w:w="880" w:type="pct"/>
            <w:noWrap/>
            <w:vAlign w:val="center"/>
            <w:hideMark/>
          </w:tcPr>
          <w:p w14:paraId="66268780" w14:textId="3BDD889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6F291F66" w14:textId="74040221"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22</w:t>
            </w:r>
          </w:p>
        </w:tc>
      </w:tr>
      <w:tr w:rsidR="00524C86" w:rsidRPr="00524C86" w14:paraId="43A14079" w14:textId="77777777" w:rsidTr="006A5274">
        <w:trPr>
          <w:trHeight w:val="20"/>
          <w:jc w:val="center"/>
        </w:trPr>
        <w:tc>
          <w:tcPr>
            <w:tcW w:w="689" w:type="pct"/>
            <w:noWrap/>
            <w:vAlign w:val="center"/>
            <w:hideMark/>
          </w:tcPr>
          <w:p w14:paraId="6B8D8FA7"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14</w:t>
            </w:r>
          </w:p>
        </w:tc>
        <w:tc>
          <w:tcPr>
            <w:tcW w:w="1653" w:type="pct"/>
            <w:noWrap/>
            <w:vAlign w:val="center"/>
            <w:hideMark/>
          </w:tcPr>
          <w:p w14:paraId="30CCE4D1" w14:textId="213466A2"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ovalis</w:t>
            </w:r>
          </w:p>
        </w:tc>
        <w:tc>
          <w:tcPr>
            <w:tcW w:w="862" w:type="pct"/>
            <w:noWrap/>
            <w:vAlign w:val="center"/>
            <w:hideMark/>
          </w:tcPr>
          <w:p w14:paraId="3F72F62D" w14:textId="2D7CFE9E"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58</w:t>
            </w:r>
          </w:p>
        </w:tc>
        <w:tc>
          <w:tcPr>
            <w:tcW w:w="880" w:type="pct"/>
            <w:noWrap/>
            <w:vAlign w:val="center"/>
            <w:hideMark/>
          </w:tcPr>
          <w:p w14:paraId="385AE46E" w14:textId="5375C96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11FA1FC3" w14:textId="24474F6F"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22</w:t>
            </w:r>
          </w:p>
        </w:tc>
      </w:tr>
      <w:tr w:rsidR="00524C86" w:rsidRPr="00524C86" w14:paraId="65EDC46A" w14:textId="77777777" w:rsidTr="006A5274">
        <w:trPr>
          <w:trHeight w:val="20"/>
          <w:jc w:val="center"/>
        </w:trPr>
        <w:tc>
          <w:tcPr>
            <w:tcW w:w="689" w:type="pct"/>
            <w:noWrap/>
            <w:vAlign w:val="center"/>
            <w:hideMark/>
          </w:tcPr>
          <w:p w14:paraId="1C334A7C"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15</w:t>
            </w:r>
          </w:p>
        </w:tc>
        <w:tc>
          <w:tcPr>
            <w:tcW w:w="1653" w:type="pct"/>
            <w:noWrap/>
            <w:vAlign w:val="center"/>
            <w:hideMark/>
          </w:tcPr>
          <w:p w14:paraId="76BD396E" w14:textId="72522360"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platyclados</w:t>
            </w:r>
          </w:p>
        </w:tc>
        <w:tc>
          <w:tcPr>
            <w:tcW w:w="862" w:type="pct"/>
            <w:noWrap/>
            <w:vAlign w:val="center"/>
            <w:hideMark/>
          </w:tcPr>
          <w:p w14:paraId="54512E9D" w14:textId="6308DA99"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58</w:t>
            </w:r>
          </w:p>
        </w:tc>
        <w:tc>
          <w:tcPr>
            <w:tcW w:w="880" w:type="pct"/>
            <w:noWrap/>
            <w:vAlign w:val="center"/>
            <w:hideMark/>
          </w:tcPr>
          <w:p w14:paraId="49762E67" w14:textId="2CF8FD81"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64</w:t>
            </w:r>
          </w:p>
        </w:tc>
        <w:tc>
          <w:tcPr>
            <w:tcW w:w="917" w:type="pct"/>
            <w:noWrap/>
            <w:vAlign w:val="center"/>
            <w:hideMark/>
          </w:tcPr>
          <w:p w14:paraId="55DEF870" w14:textId="633FC0F1"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22</w:t>
            </w:r>
          </w:p>
        </w:tc>
      </w:tr>
      <w:tr w:rsidR="00524C86" w:rsidRPr="00524C86" w14:paraId="3DBA5405" w14:textId="77777777" w:rsidTr="006A5274">
        <w:trPr>
          <w:trHeight w:val="20"/>
          <w:jc w:val="center"/>
        </w:trPr>
        <w:tc>
          <w:tcPr>
            <w:tcW w:w="689" w:type="pct"/>
            <w:tcBorders>
              <w:top w:val="single" w:sz="4" w:space="0" w:color="auto"/>
              <w:left w:val="nil"/>
              <w:bottom w:val="single" w:sz="4" w:space="0" w:color="auto"/>
              <w:right w:val="nil"/>
            </w:tcBorders>
            <w:noWrap/>
            <w:vAlign w:val="center"/>
            <w:hideMark/>
          </w:tcPr>
          <w:p w14:paraId="6D950DA4"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Total</w:t>
            </w:r>
          </w:p>
        </w:tc>
        <w:tc>
          <w:tcPr>
            <w:tcW w:w="1653" w:type="pct"/>
            <w:tcBorders>
              <w:top w:val="single" w:sz="4" w:space="0" w:color="auto"/>
              <w:left w:val="nil"/>
              <w:bottom w:val="single" w:sz="4" w:space="0" w:color="auto"/>
              <w:right w:val="nil"/>
            </w:tcBorders>
            <w:noWrap/>
            <w:vAlign w:val="center"/>
            <w:hideMark/>
          </w:tcPr>
          <w:p w14:paraId="0A394571" w14:textId="54240180" w:rsidR="00524C86" w:rsidRPr="00524C86" w:rsidRDefault="00524C86" w:rsidP="006A5274">
            <w:pPr>
              <w:jc w:val="center"/>
              <w:rPr>
                <w:rFonts w:asciiTheme="majorBidi" w:eastAsia="Times New Roman" w:hAnsiTheme="majorBidi" w:cstheme="majorBidi"/>
                <w:color w:val="000000"/>
                <w:szCs w:val="22"/>
              </w:rPr>
            </w:pPr>
          </w:p>
        </w:tc>
        <w:tc>
          <w:tcPr>
            <w:tcW w:w="862" w:type="pct"/>
            <w:tcBorders>
              <w:top w:val="single" w:sz="4" w:space="0" w:color="auto"/>
              <w:left w:val="nil"/>
              <w:bottom w:val="single" w:sz="4" w:space="0" w:color="auto"/>
              <w:right w:val="nil"/>
            </w:tcBorders>
            <w:noWrap/>
            <w:vAlign w:val="center"/>
            <w:hideMark/>
          </w:tcPr>
          <w:p w14:paraId="5229B313"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100</w:t>
            </w:r>
          </w:p>
        </w:tc>
        <w:tc>
          <w:tcPr>
            <w:tcW w:w="880" w:type="pct"/>
            <w:tcBorders>
              <w:top w:val="single" w:sz="4" w:space="0" w:color="auto"/>
              <w:left w:val="nil"/>
              <w:bottom w:val="single" w:sz="4" w:space="0" w:color="auto"/>
              <w:right w:val="nil"/>
            </w:tcBorders>
            <w:noWrap/>
            <w:vAlign w:val="center"/>
            <w:hideMark/>
          </w:tcPr>
          <w:p w14:paraId="24C7D47E"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100</w:t>
            </w:r>
          </w:p>
        </w:tc>
        <w:tc>
          <w:tcPr>
            <w:tcW w:w="917" w:type="pct"/>
            <w:tcBorders>
              <w:top w:val="single" w:sz="4" w:space="0" w:color="auto"/>
              <w:left w:val="nil"/>
              <w:bottom w:val="single" w:sz="4" w:space="0" w:color="auto"/>
              <w:right w:val="nil"/>
            </w:tcBorders>
            <w:noWrap/>
            <w:vAlign w:val="center"/>
            <w:hideMark/>
          </w:tcPr>
          <w:p w14:paraId="212FB187"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200</w:t>
            </w:r>
          </w:p>
        </w:tc>
      </w:tr>
    </w:tbl>
    <w:p w14:paraId="0E76C089" w14:textId="77777777" w:rsidR="00260581" w:rsidRDefault="00260581" w:rsidP="00524C86">
      <w:pPr>
        <w:spacing w:after="240"/>
      </w:pPr>
    </w:p>
    <w:p w14:paraId="45DBA62C" w14:textId="523D0560" w:rsidR="00524C86" w:rsidRPr="00524C86" w:rsidRDefault="00524C86" w:rsidP="00524C86">
      <w:pPr>
        <w:pStyle w:val="Els-body-text"/>
        <w:spacing w:after="240"/>
        <w:rPr>
          <w:rFonts w:eastAsiaTheme="minorHAnsi"/>
          <w:szCs w:val="22"/>
          <w:lang w:val="en-ID"/>
        </w:rPr>
      </w:pPr>
      <w:r w:rsidRPr="00524C86">
        <w:rPr>
          <w:rFonts w:eastAsiaTheme="minorHAnsi"/>
          <w:i/>
          <w:iCs/>
          <w:szCs w:val="22"/>
          <w:lang w:val="en-ID"/>
        </w:rPr>
        <w:t>H. beccariana</w:t>
      </w:r>
      <w:r w:rsidRPr="00524C86">
        <w:rPr>
          <w:rFonts w:eastAsiaTheme="minorHAnsi"/>
          <w:szCs w:val="22"/>
          <w:lang w:val="en-ID"/>
        </w:rPr>
        <w:t xml:space="preserve"> had the highest IVI at 55.40%, followed by </w:t>
      </w:r>
      <w:r w:rsidRPr="00524C86">
        <w:rPr>
          <w:rFonts w:eastAsiaTheme="minorHAnsi"/>
          <w:i/>
          <w:iCs/>
          <w:szCs w:val="22"/>
          <w:lang w:val="en-ID"/>
        </w:rPr>
        <w:t>S. curtisii</w:t>
      </w:r>
      <w:r w:rsidRPr="00524C86">
        <w:rPr>
          <w:rFonts w:eastAsiaTheme="minorHAnsi"/>
          <w:szCs w:val="22"/>
          <w:lang w:val="en-ID"/>
        </w:rPr>
        <w:t xml:space="preserve"> (38.96%), </w:t>
      </w:r>
      <w:r w:rsidRPr="00524C86">
        <w:rPr>
          <w:rFonts w:eastAsiaTheme="minorHAnsi"/>
          <w:i/>
          <w:iCs/>
          <w:szCs w:val="22"/>
          <w:lang w:val="en-ID"/>
        </w:rPr>
        <w:t>V. pauciflora</w:t>
      </w:r>
      <w:r w:rsidRPr="00524C86">
        <w:rPr>
          <w:rFonts w:eastAsiaTheme="minorHAnsi"/>
          <w:szCs w:val="22"/>
          <w:lang w:val="en-ID"/>
        </w:rPr>
        <w:t xml:space="preserve"> (25.43%), H</w:t>
      </w:r>
      <w:r w:rsidRPr="00524C86">
        <w:rPr>
          <w:rFonts w:eastAsiaTheme="minorHAnsi"/>
          <w:i/>
          <w:iCs/>
          <w:szCs w:val="22"/>
          <w:lang w:val="en-ID"/>
        </w:rPr>
        <w:t>. mengarawan</w:t>
      </w:r>
      <w:r w:rsidRPr="00524C86">
        <w:rPr>
          <w:rFonts w:eastAsiaTheme="minorHAnsi"/>
          <w:szCs w:val="22"/>
          <w:lang w:val="en-ID"/>
        </w:rPr>
        <w:t xml:space="preserve"> (25.32%), and </w:t>
      </w:r>
      <w:r w:rsidRPr="00524C86">
        <w:rPr>
          <w:rFonts w:eastAsiaTheme="minorHAnsi"/>
          <w:i/>
          <w:iCs/>
          <w:szCs w:val="22"/>
          <w:lang w:val="en-ID"/>
        </w:rPr>
        <w:t>V. cuspidata</w:t>
      </w:r>
      <w:r w:rsidRPr="00524C86">
        <w:rPr>
          <w:rFonts w:eastAsiaTheme="minorHAnsi"/>
          <w:szCs w:val="22"/>
          <w:lang w:val="en-ID"/>
        </w:rPr>
        <w:t xml:space="preserve"> (15.65%). In 2018, seed and wild seedling collection activities were conducted in the Sungai Harapan Protected Forest during the flowering season. This activity was carried out as one of the in</w:t>
      </w:r>
      <w:r w:rsidR="006A5274">
        <w:rPr>
          <w:rFonts w:eastAsiaTheme="minorHAnsi"/>
          <w:szCs w:val="22"/>
          <w:lang w:val="en-ID"/>
        </w:rPr>
        <w:t xml:space="preserve"> </w:t>
      </w:r>
      <w:r w:rsidRPr="00524C86">
        <w:rPr>
          <w:rFonts w:eastAsiaTheme="minorHAnsi"/>
          <w:szCs w:val="22"/>
          <w:lang w:val="en-ID"/>
        </w:rPr>
        <w:t xml:space="preserve">situ conservation strategies for species native to Batam. Two of these species were </w:t>
      </w:r>
      <w:r w:rsidRPr="00524C86">
        <w:rPr>
          <w:rFonts w:eastAsiaTheme="minorHAnsi"/>
          <w:i/>
          <w:iCs/>
          <w:szCs w:val="22"/>
          <w:lang w:val="en-ID"/>
        </w:rPr>
        <w:t>H. beccariana</w:t>
      </w:r>
      <w:r w:rsidRPr="00524C86">
        <w:rPr>
          <w:rFonts w:eastAsiaTheme="minorHAnsi"/>
          <w:szCs w:val="22"/>
          <w:lang w:val="en-ID"/>
        </w:rPr>
        <w:t xml:space="preserve"> and </w:t>
      </w:r>
      <w:r w:rsidRPr="00524C86">
        <w:rPr>
          <w:rFonts w:eastAsiaTheme="minorHAnsi"/>
          <w:i/>
          <w:iCs/>
          <w:szCs w:val="22"/>
          <w:lang w:val="en-ID"/>
        </w:rPr>
        <w:t>S. curtisii</w:t>
      </w:r>
      <w:r w:rsidRPr="00524C86">
        <w:rPr>
          <w:rFonts w:eastAsiaTheme="minorHAnsi"/>
          <w:szCs w:val="22"/>
          <w:lang w:val="en-ID"/>
        </w:rPr>
        <w:t xml:space="preserve">. However, the IVI values at both the seedling and sapling stages showed that </w:t>
      </w:r>
      <w:r w:rsidRPr="00524C86">
        <w:rPr>
          <w:rFonts w:eastAsiaTheme="minorHAnsi"/>
          <w:i/>
          <w:iCs/>
          <w:szCs w:val="22"/>
          <w:lang w:val="en-ID"/>
        </w:rPr>
        <w:t xml:space="preserve">S. curtisii </w:t>
      </w:r>
      <w:r w:rsidRPr="00524C86">
        <w:rPr>
          <w:rFonts w:eastAsiaTheme="minorHAnsi"/>
          <w:szCs w:val="22"/>
          <w:lang w:val="en-ID"/>
        </w:rPr>
        <w:t xml:space="preserve">and </w:t>
      </w:r>
      <w:r w:rsidRPr="00524C86">
        <w:rPr>
          <w:rFonts w:eastAsiaTheme="minorHAnsi"/>
          <w:i/>
          <w:iCs/>
          <w:szCs w:val="22"/>
          <w:lang w:val="en-ID"/>
        </w:rPr>
        <w:t>H. beccariana</w:t>
      </w:r>
      <w:r w:rsidRPr="00524C86">
        <w:rPr>
          <w:rFonts w:eastAsiaTheme="minorHAnsi"/>
          <w:szCs w:val="22"/>
          <w:lang w:val="en-ID"/>
        </w:rPr>
        <w:t xml:space="preserve"> had the highest IVI values </w:t>
      </w:r>
      <w:r w:rsidR="006A5274">
        <w:rPr>
          <w:rFonts w:eastAsiaTheme="minorHAnsi"/>
          <w:szCs w:val="22"/>
          <w:lang w:val="en-ID"/>
        </w:rPr>
        <w:t>among the species in the study area, indicating their high dominance</w:t>
      </w:r>
      <w:r w:rsidRPr="00524C86">
        <w:rPr>
          <w:rFonts w:eastAsiaTheme="minorHAnsi"/>
          <w:szCs w:val="22"/>
          <w:lang w:val="en-ID"/>
        </w:rPr>
        <w:t>.</w:t>
      </w:r>
    </w:p>
    <w:p w14:paraId="2F090A37" w14:textId="5721E793" w:rsidR="00524C86" w:rsidRDefault="00524C86" w:rsidP="00524C86">
      <w:pPr>
        <w:pStyle w:val="Els-body-text"/>
        <w:spacing w:after="240"/>
        <w:rPr>
          <w:rFonts w:eastAsiaTheme="minorHAnsi"/>
          <w:szCs w:val="22"/>
          <w:lang w:val="en-ID"/>
        </w:rPr>
      </w:pPr>
      <w:r w:rsidRPr="00524C86">
        <w:rPr>
          <w:rFonts w:eastAsiaTheme="minorHAnsi"/>
          <w:szCs w:val="22"/>
          <w:lang w:val="en-ID"/>
        </w:rPr>
        <w:t xml:space="preserve">A study conducted in the Hemanq Beniung Customary Forest, West Kalimantan, showed different results at the sapling stage, where </w:t>
      </w:r>
      <w:r w:rsidRPr="00524C86">
        <w:rPr>
          <w:rFonts w:eastAsiaTheme="minorHAnsi"/>
          <w:i/>
          <w:iCs/>
          <w:szCs w:val="22"/>
          <w:lang w:val="en-ID"/>
        </w:rPr>
        <w:t>Knema elmerii</w:t>
      </w:r>
      <w:r w:rsidRPr="00524C86">
        <w:rPr>
          <w:rFonts w:eastAsiaTheme="minorHAnsi"/>
          <w:szCs w:val="22"/>
          <w:lang w:val="en-ID"/>
        </w:rPr>
        <w:t xml:space="preserve"> was the dominant species with an IVI of 18.15%. At the tree stage, one of the dominant species was </w:t>
      </w:r>
      <w:r w:rsidRPr="00524C86">
        <w:rPr>
          <w:rFonts w:eastAsiaTheme="minorHAnsi"/>
          <w:i/>
          <w:iCs/>
          <w:szCs w:val="22"/>
          <w:lang w:val="en-ID"/>
        </w:rPr>
        <w:t>Dipterocarpus tempehes</w:t>
      </w:r>
      <w:r w:rsidRPr="00524C86">
        <w:rPr>
          <w:rFonts w:eastAsiaTheme="minorHAnsi"/>
          <w:szCs w:val="22"/>
          <w:lang w:val="en-ID"/>
        </w:rPr>
        <w:t xml:space="preserve"> from the Dipterocarpaceae family, with an IVI value of 19.23% [26]. However, research conducted in the natural Dipterocarpaceae forests of southern Vietnam showed </w:t>
      </w:r>
      <w:r w:rsidR="006A5274">
        <w:rPr>
          <w:rFonts w:eastAsiaTheme="minorHAnsi"/>
          <w:szCs w:val="22"/>
          <w:lang w:val="en-ID"/>
        </w:rPr>
        <w:t>similarity in the dominant genus, namely</w:t>
      </w:r>
      <w:r w:rsidRPr="00524C86">
        <w:rPr>
          <w:rFonts w:eastAsiaTheme="minorHAnsi"/>
          <w:szCs w:val="22"/>
          <w:lang w:val="en-ID"/>
        </w:rPr>
        <w:t xml:space="preserve"> Hopea, particularly Hopea odorata. It was stated that the </w:t>
      </w:r>
      <w:r w:rsidRPr="00524C86">
        <w:rPr>
          <w:rFonts w:eastAsiaTheme="minorHAnsi"/>
          <w:szCs w:val="22"/>
          <w:lang w:val="en-ID"/>
        </w:rPr>
        <w:lastRenderedPageBreak/>
        <w:t>genus Hopea has shade tolerance during its early growth stages, allowing seeds and seedlings to survive under dense forest canopies [27].</w:t>
      </w:r>
    </w:p>
    <w:p w14:paraId="2A88C157" w14:textId="08D9B9E6" w:rsidR="00260581" w:rsidRDefault="00524C86" w:rsidP="00524C86">
      <w:pPr>
        <w:jc w:val="center"/>
      </w:pPr>
      <w:r w:rsidRPr="00524C86">
        <w:t>Table 4. IVI at the pole level.</w:t>
      </w:r>
    </w:p>
    <w:tbl>
      <w:tblPr>
        <w:tblW w:w="5000" w:type="pct"/>
        <w:jc w:val="center"/>
        <w:tblBorders>
          <w:top w:val="single" w:sz="4" w:space="0" w:color="auto"/>
          <w:bottom w:val="single" w:sz="4" w:space="0" w:color="auto"/>
        </w:tblBorders>
        <w:tblLook w:val="04A0" w:firstRow="1" w:lastRow="0" w:firstColumn="1" w:lastColumn="0" w:noHBand="0" w:noVBand="1"/>
      </w:tblPr>
      <w:tblGrid>
        <w:gridCol w:w="1122"/>
        <w:gridCol w:w="2695"/>
        <w:gridCol w:w="1405"/>
        <w:gridCol w:w="1434"/>
        <w:gridCol w:w="1675"/>
        <w:gridCol w:w="1307"/>
      </w:tblGrid>
      <w:tr w:rsidR="00524C86" w:rsidRPr="00524C86" w14:paraId="04AF1A25" w14:textId="77777777" w:rsidTr="006A5274">
        <w:trPr>
          <w:trHeight w:val="20"/>
          <w:jc w:val="center"/>
        </w:trPr>
        <w:tc>
          <w:tcPr>
            <w:tcW w:w="582" w:type="pct"/>
            <w:tcBorders>
              <w:bottom w:val="single" w:sz="4" w:space="0" w:color="auto"/>
            </w:tcBorders>
            <w:noWrap/>
            <w:vAlign w:val="center"/>
            <w:hideMark/>
          </w:tcPr>
          <w:p w14:paraId="441B033F"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No</w:t>
            </w:r>
          </w:p>
        </w:tc>
        <w:tc>
          <w:tcPr>
            <w:tcW w:w="1398" w:type="pct"/>
            <w:tcBorders>
              <w:bottom w:val="single" w:sz="4" w:space="0" w:color="auto"/>
            </w:tcBorders>
            <w:noWrap/>
            <w:vAlign w:val="center"/>
            <w:hideMark/>
          </w:tcPr>
          <w:p w14:paraId="5B586DCA"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Species</w:t>
            </w:r>
          </w:p>
        </w:tc>
        <w:tc>
          <w:tcPr>
            <w:tcW w:w="729" w:type="pct"/>
            <w:tcBorders>
              <w:bottom w:val="single" w:sz="4" w:space="0" w:color="auto"/>
            </w:tcBorders>
            <w:noWrap/>
            <w:vAlign w:val="center"/>
            <w:hideMark/>
          </w:tcPr>
          <w:p w14:paraId="6A78B96B"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RD(%)</w:t>
            </w:r>
          </w:p>
        </w:tc>
        <w:tc>
          <w:tcPr>
            <w:tcW w:w="744" w:type="pct"/>
            <w:tcBorders>
              <w:bottom w:val="single" w:sz="4" w:space="0" w:color="auto"/>
            </w:tcBorders>
            <w:noWrap/>
            <w:vAlign w:val="center"/>
            <w:hideMark/>
          </w:tcPr>
          <w:p w14:paraId="346E3250"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RF (%)</w:t>
            </w:r>
          </w:p>
        </w:tc>
        <w:tc>
          <w:tcPr>
            <w:tcW w:w="869" w:type="pct"/>
            <w:tcBorders>
              <w:bottom w:val="single" w:sz="4" w:space="0" w:color="auto"/>
            </w:tcBorders>
            <w:noWrap/>
            <w:vAlign w:val="center"/>
            <w:hideMark/>
          </w:tcPr>
          <w:p w14:paraId="028CE4E2"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RDo (%)</w:t>
            </w:r>
          </w:p>
        </w:tc>
        <w:tc>
          <w:tcPr>
            <w:tcW w:w="679" w:type="pct"/>
            <w:tcBorders>
              <w:bottom w:val="single" w:sz="4" w:space="0" w:color="auto"/>
            </w:tcBorders>
            <w:noWrap/>
            <w:vAlign w:val="center"/>
            <w:hideMark/>
          </w:tcPr>
          <w:p w14:paraId="72355FF4"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hAnsiTheme="majorBidi" w:cstheme="majorBidi"/>
                <w:szCs w:val="22"/>
              </w:rPr>
              <w:t>IVI</w:t>
            </w:r>
            <w:r w:rsidRPr="00524C86">
              <w:rPr>
                <w:rFonts w:asciiTheme="majorBidi" w:eastAsia="Times New Roman" w:hAnsiTheme="majorBidi" w:cstheme="majorBidi"/>
                <w:color w:val="000000"/>
                <w:szCs w:val="22"/>
              </w:rPr>
              <w:t xml:space="preserve"> (%)</w:t>
            </w:r>
          </w:p>
        </w:tc>
      </w:tr>
      <w:tr w:rsidR="00524C86" w:rsidRPr="00524C86" w14:paraId="05BFF34A" w14:textId="77777777" w:rsidTr="006A5274">
        <w:trPr>
          <w:trHeight w:val="20"/>
          <w:jc w:val="center"/>
        </w:trPr>
        <w:tc>
          <w:tcPr>
            <w:tcW w:w="582" w:type="pct"/>
            <w:tcBorders>
              <w:top w:val="single" w:sz="4" w:space="0" w:color="auto"/>
              <w:bottom w:val="nil"/>
            </w:tcBorders>
            <w:noWrap/>
            <w:vAlign w:val="center"/>
            <w:hideMark/>
          </w:tcPr>
          <w:p w14:paraId="4C8AA348"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w:t>
            </w:r>
          </w:p>
        </w:tc>
        <w:tc>
          <w:tcPr>
            <w:tcW w:w="1398" w:type="pct"/>
            <w:tcBorders>
              <w:top w:val="single" w:sz="4" w:space="0" w:color="auto"/>
              <w:bottom w:val="nil"/>
            </w:tcBorders>
            <w:noWrap/>
            <w:vAlign w:val="center"/>
            <w:hideMark/>
          </w:tcPr>
          <w:p w14:paraId="7DA6D094"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curtisii</w:t>
            </w:r>
          </w:p>
        </w:tc>
        <w:tc>
          <w:tcPr>
            <w:tcW w:w="729" w:type="pct"/>
            <w:tcBorders>
              <w:top w:val="single" w:sz="4" w:space="0" w:color="auto"/>
              <w:bottom w:val="nil"/>
            </w:tcBorders>
            <w:noWrap/>
            <w:vAlign w:val="center"/>
            <w:hideMark/>
          </w:tcPr>
          <w:p w14:paraId="039CAC4A" w14:textId="02653A93"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77</w:t>
            </w:r>
          </w:p>
        </w:tc>
        <w:tc>
          <w:tcPr>
            <w:tcW w:w="744" w:type="pct"/>
            <w:tcBorders>
              <w:top w:val="single" w:sz="4" w:space="0" w:color="auto"/>
              <w:bottom w:val="nil"/>
            </w:tcBorders>
            <w:noWrap/>
            <w:vAlign w:val="center"/>
            <w:hideMark/>
          </w:tcPr>
          <w:p w14:paraId="2C8A435D" w14:textId="1101C42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34</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15</w:t>
            </w:r>
          </w:p>
        </w:tc>
        <w:tc>
          <w:tcPr>
            <w:tcW w:w="869" w:type="pct"/>
            <w:tcBorders>
              <w:top w:val="single" w:sz="4" w:space="0" w:color="auto"/>
              <w:bottom w:val="nil"/>
            </w:tcBorders>
            <w:noWrap/>
            <w:vAlign w:val="center"/>
            <w:hideMark/>
          </w:tcPr>
          <w:p w14:paraId="4F470E44" w14:textId="5A571F7F"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76</w:t>
            </w:r>
          </w:p>
        </w:tc>
        <w:tc>
          <w:tcPr>
            <w:tcW w:w="679" w:type="pct"/>
            <w:tcBorders>
              <w:top w:val="single" w:sz="4" w:space="0" w:color="auto"/>
              <w:bottom w:val="nil"/>
            </w:tcBorders>
            <w:noWrap/>
            <w:vAlign w:val="center"/>
            <w:hideMark/>
          </w:tcPr>
          <w:p w14:paraId="73FB2B7B" w14:textId="120290A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68</w:t>
            </w:r>
          </w:p>
        </w:tc>
      </w:tr>
      <w:tr w:rsidR="00524C86" w:rsidRPr="00524C86" w14:paraId="4E755E8A" w14:textId="77777777" w:rsidTr="006A5274">
        <w:trPr>
          <w:trHeight w:val="20"/>
          <w:jc w:val="center"/>
        </w:trPr>
        <w:tc>
          <w:tcPr>
            <w:tcW w:w="582" w:type="pct"/>
            <w:tcBorders>
              <w:top w:val="nil"/>
            </w:tcBorders>
            <w:noWrap/>
            <w:vAlign w:val="center"/>
            <w:hideMark/>
          </w:tcPr>
          <w:p w14:paraId="2FE51D0C"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p>
        </w:tc>
        <w:tc>
          <w:tcPr>
            <w:tcW w:w="1398" w:type="pct"/>
            <w:tcBorders>
              <w:top w:val="nil"/>
            </w:tcBorders>
            <w:noWrap/>
            <w:vAlign w:val="center"/>
            <w:hideMark/>
          </w:tcPr>
          <w:p w14:paraId="039833EC" w14:textId="4ABDE471"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H. beccariana</w:t>
            </w:r>
          </w:p>
        </w:tc>
        <w:tc>
          <w:tcPr>
            <w:tcW w:w="729" w:type="pct"/>
            <w:tcBorders>
              <w:top w:val="nil"/>
            </w:tcBorders>
            <w:noWrap/>
            <w:vAlign w:val="center"/>
            <w:hideMark/>
          </w:tcPr>
          <w:p w14:paraId="010CA10E" w14:textId="0424695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78</w:t>
            </w:r>
          </w:p>
        </w:tc>
        <w:tc>
          <w:tcPr>
            <w:tcW w:w="744" w:type="pct"/>
            <w:tcBorders>
              <w:top w:val="nil"/>
            </w:tcBorders>
            <w:noWrap/>
            <w:vAlign w:val="center"/>
            <w:hideMark/>
          </w:tcPr>
          <w:p w14:paraId="5C8B5207" w14:textId="2558F94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19</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51</w:t>
            </w:r>
          </w:p>
        </w:tc>
        <w:tc>
          <w:tcPr>
            <w:tcW w:w="869" w:type="pct"/>
            <w:tcBorders>
              <w:top w:val="nil"/>
            </w:tcBorders>
            <w:noWrap/>
            <w:vAlign w:val="center"/>
            <w:hideMark/>
          </w:tcPr>
          <w:p w14:paraId="67D6BC5F" w14:textId="14D021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18</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97</w:t>
            </w:r>
          </w:p>
        </w:tc>
        <w:tc>
          <w:tcPr>
            <w:tcW w:w="679" w:type="pct"/>
            <w:tcBorders>
              <w:top w:val="nil"/>
            </w:tcBorders>
            <w:noWrap/>
            <w:vAlign w:val="center"/>
            <w:hideMark/>
          </w:tcPr>
          <w:p w14:paraId="3405680C" w14:textId="0232F5A3"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59</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26</w:t>
            </w:r>
          </w:p>
        </w:tc>
      </w:tr>
      <w:tr w:rsidR="00524C86" w:rsidRPr="00524C86" w14:paraId="0347C7AA" w14:textId="77777777" w:rsidTr="006A5274">
        <w:trPr>
          <w:trHeight w:val="20"/>
          <w:jc w:val="center"/>
        </w:trPr>
        <w:tc>
          <w:tcPr>
            <w:tcW w:w="582" w:type="pct"/>
            <w:noWrap/>
            <w:vAlign w:val="center"/>
            <w:hideMark/>
          </w:tcPr>
          <w:p w14:paraId="07B8A73B"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p>
        </w:tc>
        <w:tc>
          <w:tcPr>
            <w:tcW w:w="1398" w:type="pct"/>
            <w:noWrap/>
            <w:vAlign w:val="center"/>
            <w:hideMark/>
          </w:tcPr>
          <w:p w14:paraId="51F446C4"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D. rigidus.</w:t>
            </w:r>
          </w:p>
        </w:tc>
        <w:tc>
          <w:tcPr>
            <w:tcW w:w="729" w:type="pct"/>
            <w:noWrap/>
            <w:vAlign w:val="center"/>
            <w:hideMark/>
          </w:tcPr>
          <w:p w14:paraId="234BC038" w14:textId="516A3EC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9</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09</w:t>
            </w:r>
          </w:p>
        </w:tc>
        <w:tc>
          <w:tcPr>
            <w:tcW w:w="744" w:type="pct"/>
            <w:noWrap/>
            <w:vAlign w:val="center"/>
            <w:hideMark/>
          </w:tcPr>
          <w:p w14:paraId="2C19F737" w14:textId="57DE1E1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14</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63</w:t>
            </w:r>
          </w:p>
        </w:tc>
        <w:tc>
          <w:tcPr>
            <w:tcW w:w="869" w:type="pct"/>
            <w:noWrap/>
            <w:vAlign w:val="center"/>
            <w:hideMark/>
          </w:tcPr>
          <w:p w14:paraId="7B2DCEC5" w14:textId="1F4CBED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8</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07</w:t>
            </w:r>
          </w:p>
        </w:tc>
        <w:tc>
          <w:tcPr>
            <w:tcW w:w="679" w:type="pct"/>
            <w:noWrap/>
            <w:vAlign w:val="center"/>
            <w:hideMark/>
          </w:tcPr>
          <w:p w14:paraId="27625AF2" w14:textId="1D6FBEAD"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80</w:t>
            </w:r>
          </w:p>
        </w:tc>
      </w:tr>
      <w:tr w:rsidR="00524C86" w:rsidRPr="00524C86" w14:paraId="59B619D3" w14:textId="77777777" w:rsidTr="006A5274">
        <w:trPr>
          <w:trHeight w:val="20"/>
          <w:jc w:val="center"/>
        </w:trPr>
        <w:tc>
          <w:tcPr>
            <w:tcW w:w="582" w:type="pct"/>
            <w:noWrap/>
            <w:vAlign w:val="center"/>
            <w:hideMark/>
          </w:tcPr>
          <w:p w14:paraId="73C37EC0"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4</w:t>
            </w:r>
          </w:p>
        </w:tc>
        <w:tc>
          <w:tcPr>
            <w:tcW w:w="1398" w:type="pct"/>
            <w:noWrap/>
            <w:vAlign w:val="center"/>
            <w:hideMark/>
          </w:tcPr>
          <w:p w14:paraId="2DE27C39" w14:textId="71F1AE6C"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V. pauciflora</w:t>
            </w:r>
          </w:p>
        </w:tc>
        <w:tc>
          <w:tcPr>
            <w:tcW w:w="729" w:type="pct"/>
            <w:noWrap/>
            <w:vAlign w:val="center"/>
            <w:hideMark/>
          </w:tcPr>
          <w:p w14:paraId="64C45379" w14:textId="135AE5A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6</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49</w:t>
            </w:r>
          </w:p>
        </w:tc>
        <w:tc>
          <w:tcPr>
            <w:tcW w:w="744" w:type="pct"/>
            <w:noWrap/>
            <w:vAlign w:val="center"/>
            <w:hideMark/>
          </w:tcPr>
          <w:p w14:paraId="5AC32EB5" w14:textId="47B0F79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9</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76</w:t>
            </w:r>
          </w:p>
        </w:tc>
        <w:tc>
          <w:tcPr>
            <w:tcW w:w="869" w:type="pct"/>
            <w:noWrap/>
            <w:vAlign w:val="center"/>
            <w:hideMark/>
          </w:tcPr>
          <w:p w14:paraId="0CE3C939" w14:textId="47EE67E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8</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66</w:t>
            </w:r>
          </w:p>
        </w:tc>
        <w:tc>
          <w:tcPr>
            <w:tcW w:w="679" w:type="pct"/>
            <w:noWrap/>
            <w:vAlign w:val="center"/>
            <w:hideMark/>
          </w:tcPr>
          <w:p w14:paraId="19AB3FAA" w14:textId="15982526"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24</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91</w:t>
            </w:r>
          </w:p>
        </w:tc>
      </w:tr>
      <w:tr w:rsidR="00524C86" w:rsidRPr="00524C86" w14:paraId="26B87C7D" w14:textId="77777777" w:rsidTr="006A5274">
        <w:trPr>
          <w:trHeight w:val="20"/>
          <w:jc w:val="center"/>
        </w:trPr>
        <w:tc>
          <w:tcPr>
            <w:tcW w:w="582" w:type="pct"/>
            <w:noWrap/>
            <w:vAlign w:val="center"/>
            <w:hideMark/>
          </w:tcPr>
          <w:p w14:paraId="3A098EEA"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p>
        </w:tc>
        <w:tc>
          <w:tcPr>
            <w:tcW w:w="1398" w:type="pct"/>
            <w:noWrap/>
            <w:vAlign w:val="center"/>
            <w:hideMark/>
          </w:tcPr>
          <w:p w14:paraId="1BBC89FE" w14:textId="5FBD4A3C"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leprosula</w:t>
            </w:r>
          </w:p>
        </w:tc>
        <w:tc>
          <w:tcPr>
            <w:tcW w:w="729" w:type="pct"/>
            <w:noWrap/>
            <w:vAlign w:val="center"/>
            <w:hideMark/>
          </w:tcPr>
          <w:p w14:paraId="2B0686BA" w14:textId="4A813BEF"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39</w:t>
            </w:r>
          </w:p>
        </w:tc>
        <w:tc>
          <w:tcPr>
            <w:tcW w:w="744" w:type="pct"/>
            <w:noWrap/>
            <w:vAlign w:val="center"/>
            <w:hideMark/>
          </w:tcPr>
          <w:p w14:paraId="346B62EA" w14:textId="7262D721"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44</w:t>
            </w:r>
          </w:p>
        </w:tc>
        <w:tc>
          <w:tcPr>
            <w:tcW w:w="869" w:type="pct"/>
            <w:noWrap/>
            <w:vAlign w:val="center"/>
            <w:hideMark/>
          </w:tcPr>
          <w:p w14:paraId="16BE8094" w14:textId="530888D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99</w:t>
            </w:r>
          </w:p>
        </w:tc>
        <w:tc>
          <w:tcPr>
            <w:tcW w:w="679" w:type="pct"/>
            <w:noWrap/>
            <w:vAlign w:val="center"/>
            <w:hideMark/>
          </w:tcPr>
          <w:p w14:paraId="255771E1" w14:textId="11A3B623"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81</w:t>
            </w:r>
          </w:p>
        </w:tc>
      </w:tr>
      <w:tr w:rsidR="00524C86" w:rsidRPr="00524C86" w14:paraId="152883B0" w14:textId="77777777" w:rsidTr="006A5274">
        <w:trPr>
          <w:trHeight w:val="20"/>
          <w:jc w:val="center"/>
        </w:trPr>
        <w:tc>
          <w:tcPr>
            <w:tcW w:w="582" w:type="pct"/>
            <w:noWrap/>
            <w:vAlign w:val="center"/>
            <w:hideMark/>
          </w:tcPr>
          <w:p w14:paraId="0E8C8049"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6</w:t>
            </w:r>
          </w:p>
        </w:tc>
        <w:tc>
          <w:tcPr>
            <w:tcW w:w="1398" w:type="pct"/>
            <w:noWrap/>
            <w:vAlign w:val="center"/>
            <w:hideMark/>
          </w:tcPr>
          <w:p w14:paraId="3F221ED3" w14:textId="7BD5DA4D"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H. mengarawan</w:t>
            </w:r>
          </w:p>
        </w:tc>
        <w:tc>
          <w:tcPr>
            <w:tcW w:w="729" w:type="pct"/>
            <w:noWrap/>
            <w:vAlign w:val="center"/>
            <w:hideMark/>
          </w:tcPr>
          <w:p w14:paraId="1B05683C" w14:textId="242748A3"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7</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79</w:t>
            </w:r>
          </w:p>
        </w:tc>
        <w:tc>
          <w:tcPr>
            <w:tcW w:w="744" w:type="pct"/>
            <w:noWrap/>
            <w:vAlign w:val="center"/>
            <w:hideMark/>
          </w:tcPr>
          <w:p w14:paraId="397C88A2" w14:textId="4A70B2D8"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7</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32</w:t>
            </w:r>
          </w:p>
        </w:tc>
        <w:tc>
          <w:tcPr>
            <w:tcW w:w="869" w:type="pct"/>
            <w:noWrap/>
            <w:vAlign w:val="center"/>
            <w:hideMark/>
          </w:tcPr>
          <w:p w14:paraId="79928996" w14:textId="24B4C21C"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90</w:t>
            </w:r>
          </w:p>
        </w:tc>
        <w:tc>
          <w:tcPr>
            <w:tcW w:w="679" w:type="pct"/>
            <w:noWrap/>
            <w:vAlign w:val="center"/>
            <w:hideMark/>
          </w:tcPr>
          <w:p w14:paraId="05B53E6D" w14:textId="1D6122F9"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21</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01</w:t>
            </w:r>
          </w:p>
        </w:tc>
      </w:tr>
      <w:tr w:rsidR="00524C86" w:rsidRPr="00524C86" w14:paraId="1DA1DA66" w14:textId="77777777" w:rsidTr="006A5274">
        <w:trPr>
          <w:trHeight w:val="20"/>
          <w:jc w:val="center"/>
        </w:trPr>
        <w:tc>
          <w:tcPr>
            <w:tcW w:w="582" w:type="pct"/>
            <w:noWrap/>
            <w:vAlign w:val="center"/>
            <w:hideMark/>
          </w:tcPr>
          <w:p w14:paraId="4E50B13B"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7</w:t>
            </w:r>
          </w:p>
        </w:tc>
        <w:tc>
          <w:tcPr>
            <w:tcW w:w="1398" w:type="pct"/>
            <w:noWrap/>
            <w:vAlign w:val="center"/>
            <w:hideMark/>
          </w:tcPr>
          <w:p w14:paraId="08AC0A6A" w14:textId="5624BB80"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V. cuspidata</w:t>
            </w:r>
          </w:p>
        </w:tc>
        <w:tc>
          <w:tcPr>
            <w:tcW w:w="729" w:type="pct"/>
            <w:noWrap/>
            <w:vAlign w:val="center"/>
            <w:hideMark/>
          </w:tcPr>
          <w:p w14:paraId="4B184026" w14:textId="16AB313B"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90</w:t>
            </w:r>
          </w:p>
        </w:tc>
        <w:tc>
          <w:tcPr>
            <w:tcW w:w="744" w:type="pct"/>
            <w:noWrap/>
            <w:vAlign w:val="center"/>
            <w:hideMark/>
          </w:tcPr>
          <w:p w14:paraId="7C61E21E" w14:textId="2309B5E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7</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32</w:t>
            </w:r>
          </w:p>
        </w:tc>
        <w:tc>
          <w:tcPr>
            <w:tcW w:w="869" w:type="pct"/>
            <w:noWrap/>
            <w:vAlign w:val="center"/>
            <w:hideMark/>
          </w:tcPr>
          <w:p w14:paraId="522CA3D1" w14:textId="7786BCCA"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39</w:t>
            </w:r>
          </w:p>
        </w:tc>
        <w:tc>
          <w:tcPr>
            <w:tcW w:w="679" w:type="pct"/>
            <w:noWrap/>
            <w:vAlign w:val="center"/>
            <w:hideMark/>
          </w:tcPr>
          <w:p w14:paraId="159559C7" w14:textId="0FE057D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14</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60</w:t>
            </w:r>
          </w:p>
        </w:tc>
      </w:tr>
      <w:tr w:rsidR="00524C86" w:rsidRPr="00524C86" w14:paraId="715C9D62" w14:textId="77777777" w:rsidTr="006A5274">
        <w:trPr>
          <w:trHeight w:val="20"/>
          <w:jc w:val="center"/>
        </w:trPr>
        <w:tc>
          <w:tcPr>
            <w:tcW w:w="582" w:type="pct"/>
            <w:noWrap/>
            <w:vAlign w:val="center"/>
            <w:hideMark/>
          </w:tcPr>
          <w:p w14:paraId="654429E2"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8</w:t>
            </w:r>
          </w:p>
        </w:tc>
        <w:tc>
          <w:tcPr>
            <w:tcW w:w="1398" w:type="pct"/>
            <w:noWrap/>
            <w:vAlign w:val="center"/>
            <w:hideMark/>
          </w:tcPr>
          <w:p w14:paraId="0307B11A" w14:textId="5A39FD55"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S. johorensis</w:t>
            </w:r>
          </w:p>
        </w:tc>
        <w:tc>
          <w:tcPr>
            <w:tcW w:w="729" w:type="pct"/>
            <w:noWrap/>
            <w:vAlign w:val="center"/>
            <w:hideMark/>
          </w:tcPr>
          <w:p w14:paraId="5921D86F" w14:textId="6759A62C"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19</w:t>
            </w:r>
          </w:p>
        </w:tc>
        <w:tc>
          <w:tcPr>
            <w:tcW w:w="744" w:type="pct"/>
            <w:noWrap/>
            <w:vAlign w:val="center"/>
            <w:hideMark/>
          </w:tcPr>
          <w:p w14:paraId="0278F7B1" w14:textId="3AC6108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44</w:t>
            </w:r>
          </w:p>
        </w:tc>
        <w:tc>
          <w:tcPr>
            <w:tcW w:w="869" w:type="pct"/>
            <w:noWrap/>
            <w:vAlign w:val="center"/>
            <w:hideMark/>
          </w:tcPr>
          <w:p w14:paraId="75C2F1DA" w14:textId="7B1C5FC2"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5</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49</w:t>
            </w:r>
          </w:p>
        </w:tc>
        <w:tc>
          <w:tcPr>
            <w:tcW w:w="679" w:type="pct"/>
            <w:noWrap/>
            <w:vAlign w:val="center"/>
            <w:hideMark/>
          </w:tcPr>
          <w:p w14:paraId="52C52D03" w14:textId="2981681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13</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13</w:t>
            </w:r>
          </w:p>
        </w:tc>
      </w:tr>
      <w:tr w:rsidR="00524C86" w:rsidRPr="00524C86" w14:paraId="65C33AB2" w14:textId="77777777" w:rsidTr="006A5274">
        <w:trPr>
          <w:trHeight w:val="20"/>
          <w:jc w:val="center"/>
        </w:trPr>
        <w:tc>
          <w:tcPr>
            <w:tcW w:w="582" w:type="pct"/>
            <w:noWrap/>
            <w:vAlign w:val="center"/>
            <w:hideMark/>
          </w:tcPr>
          <w:p w14:paraId="090EBBE1"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9</w:t>
            </w:r>
          </w:p>
        </w:tc>
        <w:tc>
          <w:tcPr>
            <w:tcW w:w="1398" w:type="pct"/>
            <w:noWrap/>
            <w:vAlign w:val="center"/>
            <w:hideMark/>
          </w:tcPr>
          <w:p w14:paraId="154A6335" w14:textId="77777777" w:rsidR="00524C86" w:rsidRPr="00524C86" w:rsidRDefault="00524C86" w:rsidP="006A5274">
            <w:pPr>
              <w:jc w:val="center"/>
              <w:rPr>
                <w:rFonts w:asciiTheme="majorBidi" w:eastAsia="Times New Roman" w:hAnsiTheme="majorBidi" w:cstheme="majorBidi"/>
                <w:i/>
                <w:iCs/>
                <w:color w:val="000000"/>
                <w:szCs w:val="22"/>
              </w:rPr>
            </w:pPr>
            <w:r w:rsidRPr="00524C86">
              <w:rPr>
                <w:rFonts w:asciiTheme="majorBidi" w:eastAsia="Times New Roman" w:hAnsiTheme="majorBidi" w:cstheme="majorBidi"/>
                <w:i/>
                <w:iCs/>
                <w:szCs w:val="22"/>
              </w:rPr>
              <w:t>D. elongatus.</w:t>
            </w:r>
          </w:p>
        </w:tc>
        <w:tc>
          <w:tcPr>
            <w:tcW w:w="729" w:type="pct"/>
            <w:noWrap/>
            <w:vAlign w:val="center"/>
            <w:hideMark/>
          </w:tcPr>
          <w:p w14:paraId="61CCB222" w14:textId="03EB083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60</w:t>
            </w:r>
          </w:p>
        </w:tc>
        <w:tc>
          <w:tcPr>
            <w:tcW w:w="744" w:type="pct"/>
            <w:noWrap/>
            <w:vAlign w:val="center"/>
            <w:hideMark/>
          </w:tcPr>
          <w:p w14:paraId="04DA9FF1" w14:textId="2B950545"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44</w:t>
            </w:r>
          </w:p>
        </w:tc>
        <w:tc>
          <w:tcPr>
            <w:tcW w:w="869" w:type="pct"/>
            <w:noWrap/>
            <w:vAlign w:val="center"/>
            <w:hideMark/>
          </w:tcPr>
          <w:p w14:paraId="52368F01" w14:textId="31744931"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2</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77</w:t>
            </w:r>
          </w:p>
        </w:tc>
        <w:tc>
          <w:tcPr>
            <w:tcW w:w="679" w:type="pct"/>
            <w:noWrap/>
            <w:vAlign w:val="center"/>
            <w:hideMark/>
          </w:tcPr>
          <w:p w14:paraId="12190AE2" w14:textId="11D3290C"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7</w:t>
            </w:r>
            <w:r w:rsidR="00D746AA">
              <w:rPr>
                <w:rFonts w:asciiTheme="majorBidi" w:eastAsia="Times New Roman" w:hAnsiTheme="majorBidi" w:cstheme="majorBidi"/>
                <w:color w:val="000000"/>
                <w:szCs w:val="22"/>
              </w:rPr>
              <w:t>.</w:t>
            </w:r>
            <w:r w:rsidRPr="00524C86">
              <w:rPr>
                <w:rFonts w:asciiTheme="majorBidi" w:eastAsia="Times New Roman" w:hAnsiTheme="majorBidi" w:cstheme="majorBidi"/>
                <w:color w:val="000000"/>
                <w:szCs w:val="22"/>
              </w:rPr>
              <w:t>81</w:t>
            </w:r>
          </w:p>
        </w:tc>
      </w:tr>
      <w:tr w:rsidR="00524C86" w:rsidRPr="00524C86" w14:paraId="253C142D" w14:textId="77777777" w:rsidTr="006A5274">
        <w:trPr>
          <w:trHeight w:val="20"/>
          <w:jc w:val="center"/>
        </w:trPr>
        <w:tc>
          <w:tcPr>
            <w:tcW w:w="582" w:type="pct"/>
            <w:noWrap/>
            <w:vAlign w:val="center"/>
            <w:hideMark/>
          </w:tcPr>
          <w:p w14:paraId="0DAF9A28"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Total</w:t>
            </w:r>
          </w:p>
        </w:tc>
        <w:tc>
          <w:tcPr>
            <w:tcW w:w="1398" w:type="pct"/>
            <w:noWrap/>
            <w:vAlign w:val="center"/>
            <w:hideMark/>
          </w:tcPr>
          <w:p w14:paraId="24B99BB1" w14:textId="77777777" w:rsidR="00524C86" w:rsidRPr="00524C86" w:rsidRDefault="00524C86" w:rsidP="006A5274">
            <w:pPr>
              <w:jc w:val="center"/>
              <w:rPr>
                <w:rFonts w:asciiTheme="majorBidi" w:hAnsiTheme="majorBidi" w:cstheme="majorBidi"/>
                <w:szCs w:val="22"/>
              </w:rPr>
            </w:pPr>
          </w:p>
        </w:tc>
        <w:tc>
          <w:tcPr>
            <w:tcW w:w="729" w:type="pct"/>
            <w:noWrap/>
            <w:vAlign w:val="center"/>
            <w:hideMark/>
          </w:tcPr>
          <w:p w14:paraId="7F96A0C0"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100</w:t>
            </w:r>
          </w:p>
        </w:tc>
        <w:tc>
          <w:tcPr>
            <w:tcW w:w="744" w:type="pct"/>
            <w:noWrap/>
            <w:vAlign w:val="center"/>
            <w:hideMark/>
          </w:tcPr>
          <w:p w14:paraId="50A1E294"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100</w:t>
            </w:r>
          </w:p>
        </w:tc>
        <w:tc>
          <w:tcPr>
            <w:tcW w:w="869" w:type="pct"/>
            <w:noWrap/>
            <w:vAlign w:val="center"/>
            <w:hideMark/>
          </w:tcPr>
          <w:p w14:paraId="6D7E3948"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100</w:t>
            </w:r>
          </w:p>
        </w:tc>
        <w:tc>
          <w:tcPr>
            <w:tcW w:w="679" w:type="pct"/>
            <w:noWrap/>
            <w:vAlign w:val="center"/>
            <w:hideMark/>
          </w:tcPr>
          <w:p w14:paraId="1E68601E" w14:textId="77777777" w:rsidR="00524C86" w:rsidRPr="00524C86" w:rsidRDefault="00524C86" w:rsidP="006A5274">
            <w:pPr>
              <w:jc w:val="center"/>
              <w:rPr>
                <w:rFonts w:asciiTheme="majorBidi" w:eastAsia="Times New Roman" w:hAnsiTheme="majorBidi" w:cstheme="majorBidi"/>
                <w:color w:val="000000"/>
                <w:szCs w:val="22"/>
              </w:rPr>
            </w:pPr>
            <w:r w:rsidRPr="00524C86">
              <w:rPr>
                <w:rFonts w:asciiTheme="majorBidi" w:eastAsia="Times New Roman" w:hAnsiTheme="majorBidi" w:cstheme="majorBidi"/>
                <w:color w:val="000000"/>
                <w:szCs w:val="22"/>
              </w:rPr>
              <w:t>300</w:t>
            </w:r>
          </w:p>
        </w:tc>
      </w:tr>
    </w:tbl>
    <w:p w14:paraId="20DE2318" w14:textId="77777777" w:rsidR="00260581" w:rsidRDefault="00260581" w:rsidP="00524C86">
      <w:pPr>
        <w:spacing w:after="240"/>
      </w:pPr>
    </w:p>
    <w:p w14:paraId="7F8EBEE6" w14:textId="5B191898" w:rsidR="00524C86" w:rsidRPr="00524C86" w:rsidRDefault="00524C86" w:rsidP="00524C86">
      <w:pPr>
        <w:pStyle w:val="Els-body-text"/>
        <w:spacing w:after="240"/>
        <w:rPr>
          <w:rFonts w:eastAsiaTheme="minorHAnsi"/>
          <w:szCs w:val="22"/>
          <w:lang w:val="en-ID"/>
        </w:rPr>
      </w:pPr>
      <w:r w:rsidRPr="00524C86">
        <w:rPr>
          <w:rFonts w:eastAsiaTheme="minorHAnsi"/>
          <w:szCs w:val="22"/>
          <w:lang w:val="en-ID"/>
        </w:rPr>
        <w:t xml:space="preserve">At the pole level, the highest IVI value was recorded for </w:t>
      </w:r>
      <w:r w:rsidRPr="00543531">
        <w:rPr>
          <w:rFonts w:eastAsiaTheme="minorHAnsi"/>
          <w:i/>
          <w:iCs/>
          <w:szCs w:val="22"/>
          <w:lang w:val="en-ID"/>
        </w:rPr>
        <w:t>S. curtisii</w:t>
      </w:r>
      <w:r w:rsidRPr="00524C86">
        <w:rPr>
          <w:rFonts w:eastAsiaTheme="minorHAnsi"/>
          <w:szCs w:val="22"/>
          <w:lang w:val="en-ID"/>
        </w:rPr>
        <w:t xml:space="preserve"> (103.68%), followed by </w:t>
      </w:r>
      <w:r w:rsidRPr="00543531">
        <w:rPr>
          <w:rFonts w:eastAsiaTheme="minorHAnsi"/>
          <w:i/>
          <w:iCs/>
          <w:szCs w:val="22"/>
          <w:lang w:val="en-ID"/>
        </w:rPr>
        <w:t>H. beccariana</w:t>
      </w:r>
      <w:r w:rsidRPr="00524C86">
        <w:rPr>
          <w:rFonts w:eastAsiaTheme="minorHAnsi"/>
          <w:szCs w:val="22"/>
          <w:lang w:val="en-ID"/>
        </w:rPr>
        <w:t xml:space="preserve"> (59.26%), </w:t>
      </w:r>
      <w:r w:rsidRPr="00543531">
        <w:rPr>
          <w:rFonts w:eastAsiaTheme="minorHAnsi"/>
          <w:i/>
          <w:iCs/>
          <w:szCs w:val="22"/>
          <w:lang w:val="en-ID"/>
        </w:rPr>
        <w:t>D. rigidus</w:t>
      </w:r>
      <w:r w:rsidRPr="00524C86">
        <w:rPr>
          <w:rFonts w:eastAsiaTheme="minorHAnsi"/>
          <w:szCs w:val="22"/>
          <w:lang w:val="en-ID"/>
        </w:rPr>
        <w:t xml:space="preserve"> (31.80%), </w:t>
      </w:r>
      <w:r w:rsidRPr="00543531">
        <w:rPr>
          <w:rFonts w:eastAsiaTheme="minorHAnsi"/>
          <w:i/>
          <w:iCs/>
          <w:szCs w:val="22"/>
          <w:lang w:val="en-ID"/>
        </w:rPr>
        <w:t>V. pauciflora</w:t>
      </w:r>
      <w:r w:rsidRPr="00524C86">
        <w:rPr>
          <w:rFonts w:eastAsiaTheme="minorHAnsi"/>
          <w:szCs w:val="22"/>
          <w:lang w:val="en-ID"/>
        </w:rPr>
        <w:t xml:space="preserve"> (24.91%), and </w:t>
      </w:r>
      <w:r w:rsidRPr="00543531">
        <w:rPr>
          <w:rFonts w:eastAsiaTheme="minorHAnsi"/>
          <w:i/>
          <w:iCs/>
          <w:szCs w:val="22"/>
          <w:lang w:val="en-ID"/>
        </w:rPr>
        <w:t>S. leprosula</w:t>
      </w:r>
      <w:r w:rsidRPr="00524C86">
        <w:rPr>
          <w:rFonts w:eastAsiaTheme="minorHAnsi"/>
          <w:szCs w:val="22"/>
          <w:lang w:val="en-ID"/>
        </w:rPr>
        <w:t xml:space="preserve"> (23.81%). </w:t>
      </w:r>
      <w:r w:rsidRPr="00543531">
        <w:rPr>
          <w:rFonts w:eastAsiaTheme="minorHAnsi"/>
          <w:i/>
          <w:iCs/>
          <w:szCs w:val="22"/>
          <w:lang w:val="en-ID"/>
        </w:rPr>
        <w:t>S. leprosula</w:t>
      </w:r>
      <w:r w:rsidRPr="00524C86">
        <w:rPr>
          <w:rFonts w:eastAsiaTheme="minorHAnsi"/>
          <w:szCs w:val="22"/>
          <w:lang w:val="en-ID"/>
        </w:rPr>
        <w:t xml:space="preserve"> and </w:t>
      </w:r>
      <w:r w:rsidRPr="00543531">
        <w:rPr>
          <w:rFonts w:eastAsiaTheme="minorHAnsi"/>
          <w:i/>
          <w:iCs/>
          <w:szCs w:val="22"/>
          <w:lang w:val="en-ID"/>
        </w:rPr>
        <w:t>S</w:t>
      </w:r>
      <w:r w:rsidR="00543531">
        <w:rPr>
          <w:rFonts w:eastAsiaTheme="minorHAnsi"/>
          <w:i/>
          <w:iCs/>
          <w:szCs w:val="22"/>
          <w:lang w:val="en-ID"/>
        </w:rPr>
        <w:t>.</w:t>
      </w:r>
      <w:r w:rsidRPr="00543531">
        <w:rPr>
          <w:rFonts w:eastAsiaTheme="minorHAnsi"/>
          <w:i/>
          <w:iCs/>
          <w:szCs w:val="22"/>
          <w:lang w:val="en-ID"/>
        </w:rPr>
        <w:t xml:space="preserve"> johorensis</w:t>
      </w:r>
      <w:r w:rsidRPr="00524C86">
        <w:rPr>
          <w:rFonts w:eastAsiaTheme="minorHAnsi"/>
          <w:szCs w:val="22"/>
          <w:lang w:val="en-ID"/>
        </w:rPr>
        <w:t xml:space="preserve"> were only found at the seedling, sapling, and pole level, but were absent at the tree stage. The limited abundance of these species on Batam Island is suspected to </w:t>
      </w:r>
      <w:r w:rsidR="006A5274">
        <w:rPr>
          <w:rFonts w:eastAsiaTheme="minorHAnsi"/>
          <w:szCs w:val="22"/>
          <w:lang w:val="en-ID"/>
        </w:rPr>
        <w:t>result from historical exploitation</w:t>
      </w:r>
      <w:r w:rsidRPr="00524C86">
        <w:rPr>
          <w:rFonts w:eastAsiaTheme="minorHAnsi"/>
          <w:szCs w:val="22"/>
          <w:lang w:val="en-ID"/>
        </w:rPr>
        <w:t xml:space="preserve">. The fragmentation of forests on Batam Island was not only a consequence of rapid urbanization and industrial expansion but is also associated with historical logging, land conversion, and recurrent forest fires, all of which have contributed to the decline of suitable habitats for </w:t>
      </w:r>
      <w:r w:rsidRPr="00543531">
        <w:rPr>
          <w:rFonts w:eastAsiaTheme="minorHAnsi"/>
          <w:i/>
          <w:iCs/>
          <w:szCs w:val="22"/>
          <w:lang w:val="en-ID"/>
        </w:rPr>
        <w:t>Rubroshorea curtisii</w:t>
      </w:r>
      <w:r w:rsidRPr="00524C86">
        <w:rPr>
          <w:rFonts w:eastAsiaTheme="minorHAnsi"/>
          <w:szCs w:val="22"/>
          <w:lang w:val="en-ID"/>
        </w:rPr>
        <w:t xml:space="preserve">. </w:t>
      </w:r>
    </w:p>
    <w:p w14:paraId="223E79DD" w14:textId="6CD16B1D" w:rsidR="00524C86" w:rsidRPr="00524C86" w:rsidRDefault="00524C86" w:rsidP="00524C86">
      <w:pPr>
        <w:pStyle w:val="Els-body-text"/>
        <w:spacing w:after="240"/>
        <w:rPr>
          <w:rFonts w:eastAsiaTheme="minorHAnsi"/>
          <w:szCs w:val="22"/>
          <w:lang w:val="en-ID"/>
        </w:rPr>
      </w:pPr>
      <w:r w:rsidRPr="00524C86">
        <w:rPr>
          <w:rFonts w:eastAsiaTheme="minorHAnsi"/>
          <w:szCs w:val="22"/>
          <w:lang w:val="en-ID"/>
        </w:rPr>
        <w:t>This disturbance results in changes to forest structure and habitat fragmentation, and affects the natural regeneration of Dipterocarpaceae</w:t>
      </w:r>
      <w:r w:rsidR="006A5274">
        <w:rPr>
          <w:rFonts w:eastAsiaTheme="minorHAnsi"/>
          <w:szCs w:val="22"/>
          <w:lang w:val="en-ID"/>
        </w:rPr>
        <w:t>,</w:t>
      </w:r>
      <w:r w:rsidRPr="00524C86">
        <w:rPr>
          <w:rFonts w:eastAsiaTheme="minorHAnsi"/>
          <w:szCs w:val="22"/>
          <w:lang w:val="en-ID"/>
        </w:rPr>
        <w:t xml:space="preserve"> particularly species characterized by irregular flowering patterns and limited seed dispersal. Forest loss is driven by land-use change and the exploitation of natural forests [28]. Furthermore, fragmentation and reduced connectivity between forest areas lead to a loss of biodiversity in tropical forests [21].</w:t>
      </w:r>
    </w:p>
    <w:p w14:paraId="51D5D3F3" w14:textId="3A0F11A2" w:rsidR="00524C86" w:rsidRPr="00524C86" w:rsidRDefault="00524C86" w:rsidP="00524C86">
      <w:pPr>
        <w:pStyle w:val="Els-body-text"/>
        <w:spacing w:after="240"/>
        <w:rPr>
          <w:rFonts w:eastAsiaTheme="minorHAnsi"/>
          <w:szCs w:val="22"/>
          <w:lang w:val="en-ID"/>
        </w:rPr>
      </w:pPr>
      <w:r w:rsidRPr="00524C86">
        <w:rPr>
          <w:rFonts w:eastAsiaTheme="minorHAnsi"/>
          <w:szCs w:val="22"/>
          <w:lang w:val="en-ID"/>
        </w:rPr>
        <w:t xml:space="preserve">Despite </w:t>
      </w:r>
      <w:r w:rsidR="006A5274">
        <w:rPr>
          <w:rFonts w:eastAsiaTheme="minorHAnsi"/>
          <w:szCs w:val="22"/>
          <w:lang w:val="en-ID"/>
        </w:rPr>
        <w:t>anthropogenic pressures from urban development, the lowland tropical forest on Tiban Hill, Batam Island, supports a population of R.</w:t>
      </w:r>
      <w:r w:rsidRPr="00543531">
        <w:rPr>
          <w:rFonts w:eastAsiaTheme="minorHAnsi"/>
          <w:i/>
          <w:iCs/>
          <w:szCs w:val="22"/>
          <w:lang w:val="en-ID"/>
        </w:rPr>
        <w:t xml:space="preserve"> curtisii</w:t>
      </w:r>
      <w:r w:rsidRPr="00524C86">
        <w:rPr>
          <w:rFonts w:eastAsiaTheme="minorHAnsi"/>
          <w:szCs w:val="22"/>
          <w:lang w:val="en-ID"/>
        </w:rPr>
        <w:t xml:space="preserve">. This highlights the conservation value of the remaining protected forest for native species [16]. These observations highlight the importance of conserving the Sungai Harapan Protected Forest to maintain biodiversity and ensure the long-term persistence of Dipterocarpaceae populations. </w:t>
      </w:r>
    </w:p>
    <w:p w14:paraId="1330E1C1" w14:textId="1FAF9750" w:rsidR="00524C86" w:rsidRPr="00524C86" w:rsidRDefault="00524C86" w:rsidP="00524C86">
      <w:pPr>
        <w:pStyle w:val="Els-body-text"/>
        <w:spacing w:after="240"/>
        <w:rPr>
          <w:rFonts w:eastAsiaTheme="minorHAnsi"/>
          <w:szCs w:val="22"/>
          <w:lang w:val="en-ID"/>
        </w:rPr>
      </w:pPr>
      <w:r w:rsidRPr="00524C86">
        <w:rPr>
          <w:rFonts w:eastAsiaTheme="minorHAnsi"/>
          <w:szCs w:val="22"/>
          <w:lang w:val="en-ID"/>
        </w:rPr>
        <w:tab/>
        <w:t xml:space="preserve">In addition, Batam Island naturally experiences strong winds that frequently cause mature trees to fall, potentially damaging younger growth stages, such as seedlings, saplings, and poles. Such disturbances affect not only the survival of </w:t>
      </w:r>
      <w:r w:rsidRPr="00543531">
        <w:rPr>
          <w:rFonts w:eastAsiaTheme="minorHAnsi"/>
          <w:i/>
          <w:iCs/>
          <w:szCs w:val="22"/>
          <w:lang w:val="en-ID"/>
        </w:rPr>
        <w:t>Shorea</w:t>
      </w:r>
      <w:r w:rsidRPr="00524C86">
        <w:rPr>
          <w:rFonts w:eastAsiaTheme="minorHAnsi"/>
          <w:szCs w:val="22"/>
          <w:lang w:val="en-ID"/>
        </w:rPr>
        <w:t xml:space="preserve"> spp. but also tree species within the forest ecosystem</w:t>
      </w:r>
      <w:r w:rsidR="006A5274">
        <w:rPr>
          <w:rFonts w:eastAsiaTheme="minorHAnsi"/>
          <w:szCs w:val="22"/>
          <w:lang w:val="en-ID"/>
        </w:rPr>
        <w:t>.</w:t>
      </w:r>
      <w:r w:rsidRPr="00524C86">
        <w:rPr>
          <w:rFonts w:eastAsiaTheme="minorHAnsi"/>
          <w:szCs w:val="22"/>
          <w:lang w:val="en-ID"/>
        </w:rPr>
        <w:t xml:space="preserve"> The fall of mature trees creates canopy gaps that may damage surrounding young individuals while simultaneously accelerating the growth of pioneer species</w:t>
      </w:r>
      <w:r w:rsidR="006A5274">
        <w:rPr>
          <w:rFonts w:eastAsiaTheme="minorHAnsi"/>
          <w:szCs w:val="22"/>
          <w:lang w:val="en-ID"/>
        </w:rPr>
        <w:t>, as</w:t>
      </w:r>
      <w:r w:rsidRPr="00524C86">
        <w:rPr>
          <w:rFonts w:eastAsiaTheme="minorHAnsi"/>
          <w:szCs w:val="22"/>
          <w:lang w:val="en-ID"/>
        </w:rPr>
        <w:t xml:space="preserve"> increased light intensity and nutrient availability in the affected area [29].</w:t>
      </w:r>
    </w:p>
    <w:p w14:paraId="2DD29919" w14:textId="20BFDD45" w:rsidR="00524C86" w:rsidRPr="00524C86" w:rsidRDefault="00524C86" w:rsidP="00543531">
      <w:pPr>
        <w:pStyle w:val="Els-body-text"/>
        <w:spacing w:after="240"/>
        <w:rPr>
          <w:rFonts w:eastAsiaTheme="minorHAnsi"/>
          <w:szCs w:val="22"/>
          <w:lang w:val="en-ID"/>
        </w:rPr>
      </w:pPr>
      <w:r w:rsidRPr="00524C86">
        <w:rPr>
          <w:rFonts w:eastAsiaTheme="minorHAnsi"/>
          <w:szCs w:val="22"/>
          <w:lang w:val="en-ID"/>
        </w:rPr>
        <w:t>A study in the Sungai Harapan Protected Forest, Batam, showed different dominant species with</w:t>
      </w:r>
      <w:r w:rsidR="006A5274">
        <w:rPr>
          <w:rFonts w:eastAsiaTheme="minorHAnsi"/>
          <w:szCs w:val="22"/>
          <w:lang w:val="en-ID"/>
        </w:rPr>
        <w:t>in Peninsular Malaysia at</w:t>
      </w:r>
      <w:r w:rsidRPr="00524C86">
        <w:rPr>
          <w:rFonts w:eastAsiaTheme="minorHAnsi"/>
          <w:szCs w:val="22"/>
          <w:lang w:val="en-ID"/>
        </w:rPr>
        <w:t xml:space="preserve"> the pole stage, namely D. rigidus with an IVI of 52.80%, followed by </w:t>
      </w:r>
      <w:r w:rsidRPr="00543531">
        <w:rPr>
          <w:rFonts w:eastAsiaTheme="minorHAnsi"/>
          <w:i/>
          <w:iCs/>
          <w:szCs w:val="22"/>
          <w:lang w:val="en-ID"/>
        </w:rPr>
        <w:t>Calophyllum pulcherrimum</w:t>
      </w:r>
      <w:r w:rsidRPr="00524C86">
        <w:rPr>
          <w:rFonts w:eastAsiaTheme="minorHAnsi"/>
          <w:szCs w:val="22"/>
          <w:lang w:val="en-ID"/>
        </w:rPr>
        <w:t xml:space="preserve"> with an IVI of 35.55% [30]. Based on the study in the Gunung Semahung Protected Forest, the species with the highest IVI at the pole stage was </w:t>
      </w:r>
      <w:r w:rsidRPr="00543531">
        <w:rPr>
          <w:rFonts w:eastAsiaTheme="minorHAnsi"/>
          <w:i/>
          <w:iCs/>
          <w:szCs w:val="22"/>
          <w:lang w:val="en-ID"/>
        </w:rPr>
        <w:t>Shorea acuminatissima</w:t>
      </w:r>
      <w:r w:rsidRPr="00524C86">
        <w:rPr>
          <w:rFonts w:eastAsiaTheme="minorHAnsi"/>
          <w:szCs w:val="22"/>
          <w:lang w:val="en-ID"/>
        </w:rPr>
        <w:t xml:space="preserve"> (yellow meranti) with a value of 19.59 [31]. These findings are similar to th</w:t>
      </w:r>
      <w:r w:rsidR="006A5274">
        <w:rPr>
          <w:rFonts w:eastAsiaTheme="minorHAnsi"/>
          <w:szCs w:val="22"/>
          <w:lang w:val="en-ID"/>
        </w:rPr>
        <w:t>ose of the present study, in which the most dominant genus at the pole stage was S. curtisii, with an IVI of</w:t>
      </w:r>
      <w:r w:rsidRPr="00524C86">
        <w:rPr>
          <w:rFonts w:eastAsiaTheme="minorHAnsi"/>
          <w:szCs w:val="22"/>
          <w:lang w:val="en-ID"/>
        </w:rPr>
        <w:t xml:space="preserve"> 103.68%. The similarity in dominant genera indicates that </w:t>
      </w:r>
      <w:r w:rsidR="006A5274">
        <w:rPr>
          <w:rFonts w:eastAsiaTheme="minorHAnsi"/>
          <w:szCs w:val="22"/>
          <w:lang w:val="en-ID"/>
        </w:rPr>
        <w:t>Shorea possesses strong ecological adaptation and high competitiveness in tropical lowland forests. In contrast, differences in dominant species are likely influenced by variations in habitat conditions, stand structure, and the distribution of parent trees across study sites</w:t>
      </w:r>
      <w:r w:rsidRPr="00524C86">
        <w:rPr>
          <w:rFonts w:eastAsiaTheme="minorHAnsi"/>
          <w:szCs w:val="22"/>
          <w:lang w:val="en-ID"/>
        </w:rPr>
        <w:t>.</w:t>
      </w:r>
    </w:p>
    <w:p w14:paraId="4E604774" w14:textId="77777777" w:rsidR="006A5274" w:rsidRDefault="006A5274">
      <w:r>
        <w:br w:type="page"/>
      </w:r>
    </w:p>
    <w:p w14:paraId="4B50EFBE" w14:textId="2E4CAB9C" w:rsidR="00260581" w:rsidRDefault="00524C86" w:rsidP="00543531">
      <w:pPr>
        <w:jc w:val="center"/>
      </w:pPr>
      <w:r w:rsidRPr="00524C86">
        <w:lastRenderedPageBreak/>
        <w:t>Table 5. IVI at the tree level.</w:t>
      </w:r>
    </w:p>
    <w:tbl>
      <w:tblPr>
        <w:tblW w:w="5000" w:type="pct"/>
        <w:jc w:val="center"/>
        <w:tblLook w:val="04A0" w:firstRow="1" w:lastRow="0" w:firstColumn="1" w:lastColumn="0" w:noHBand="0" w:noVBand="1"/>
      </w:tblPr>
      <w:tblGrid>
        <w:gridCol w:w="885"/>
        <w:gridCol w:w="3107"/>
        <w:gridCol w:w="1450"/>
        <w:gridCol w:w="1450"/>
        <w:gridCol w:w="1451"/>
        <w:gridCol w:w="1295"/>
      </w:tblGrid>
      <w:tr w:rsidR="00543531" w:rsidRPr="00543531" w14:paraId="2A82A8BB" w14:textId="77777777" w:rsidTr="005711CF">
        <w:trPr>
          <w:trHeight w:val="20"/>
          <w:jc w:val="center"/>
        </w:trPr>
        <w:tc>
          <w:tcPr>
            <w:tcW w:w="459" w:type="pct"/>
            <w:tcBorders>
              <w:top w:val="single" w:sz="4" w:space="0" w:color="auto"/>
              <w:left w:val="nil"/>
              <w:bottom w:val="single" w:sz="4" w:space="0" w:color="auto"/>
              <w:right w:val="nil"/>
            </w:tcBorders>
            <w:noWrap/>
            <w:vAlign w:val="center"/>
            <w:hideMark/>
          </w:tcPr>
          <w:p w14:paraId="1678B30F" w14:textId="77777777" w:rsidR="00543531" w:rsidRPr="00543531" w:rsidRDefault="00543531" w:rsidP="005711CF">
            <w:pPr>
              <w:jc w:val="center"/>
              <w:rPr>
                <w:rFonts w:eastAsia="Times New Roman" w:cs="Times New Roman"/>
                <w:color w:val="000000"/>
                <w:szCs w:val="22"/>
              </w:rPr>
            </w:pPr>
            <w:r w:rsidRPr="00543531">
              <w:rPr>
                <w:rFonts w:asciiTheme="majorBidi" w:eastAsia="Times New Roman" w:hAnsiTheme="majorBidi" w:cstheme="majorBidi"/>
                <w:color w:val="000000"/>
                <w:szCs w:val="22"/>
              </w:rPr>
              <w:t>No</w:t>
            </w:r>
          </w:p>
        </w:tc>
        <w:tc>
          <w:tcPr>
            <w:tcW w:w="1612" w:type="pct"/>
            <w:tcBorders>
              <w:top w:val="single" w:sz="4" w:space="0" w:color="auto"/>
              <w:left w:val="nil"/>
              <w:bottom w:val="single" w:sz="4" w:space="0" w:color="auto"/>
              <w:right w:val="nil"/>
            </w:tcBorders>
            <w:noWrap/>
            <w:vAlign w:val="center"/>
            <w:hideMark/>
          </w:tcPr>
          <w:p w14:paraId="2F7A0FE1" w14:textId="63931E2D" w:rsidR="00543531" w:rsidRPr="00543531" w:rsidRDefault="00543531" w:rsidP="005711CF">
            <w:pPr>
              <w:jc w:val="center"/>
              <w:rPr>
                <w:rFonts w:eastAsia="Times New Roman" w:cs="Times New Roman"/>
                <w:color w:val="000000"/>
                <w:szCs w:val="22"/>
              </w:rPr>
            </w:pPr>
            <w:r w:rsidRPr="00543531">
              <w:rPr>
                <w:rFonts w:asciiTheme="majorBidi" w:eastAsia="Times New Roman" w:hAnsiTheme="majorBidi" w:cstheme="majorBidi"/>
                <w:color w:val="000000"/>
                <w:szCs w:val="22"/>
              </w:rPr>
              <w:t>Species</w:t>
            </w:r>
          </w:p>
        </w:tc>
        <w:tc>
          <w:tcPr>
            <w:tcW w:w="752" w:type="pct"/>
            <w:tcBorders>
              <w:top w:val="single" w:sz="4" w:space="0" w:color="auto"/>
              <w:left w:val="nil"/>
              <w:bottom w:val="single" w:sz="4" w:space="0" w:color="auto"/>
              <w:right w:val="nil"/>
            </w:tcBorders>
            <w:noWrap/>
            <w:vAlign w:val="center"/>
            <w:hideMark/>
          </w:tcPr>
          <w:p w14:paraId="78C004E0" w14:textId="77777777" w:rsidR="00543531" w:rsidRPr="00543531" w:rsidRDefault="00543531" w:rsidP="005711CF">
            <w:pPr>
              <w:jc w:val="center"/>
              <w:rPr>
                <w:rFonts w:eastAsia="Times New Roman" w:cs="Times New Roman"/>
                <w:color w:val="000000"/>
                <w:szCs w:val="22"/>
              </w:rPr>
            </w:pPr>
            <w:r w:rsidRPr="00543531">
              <w:rPr>
                <w:rFonts w:asciiTheme="majorBidi" w:eastAsia="Times New Roman" w:hAnsiTheme="majorBidi" w:cstheme="majorBidi"/>
                <w:color w:val="000000"/>
                <w:szCs w:val="22"/>
              </w:rPr>
              <w:t>RD(%)</w:t>
            </w:r>
          </w:p>
        </w:tc>
        <w:tc>
          <w:tcPr>
            <w:tcW w:w="752" w:type="pct"/>
            <w:tcBorders>
              <w:top w:val="single" w:sz="4" w:space="0" w:color="auto"/>
              <w:left w:val="nil"/>
              <w:bottom w:val="single" w:sz="4" w:space="0" w:color="auto"/>
              <w:right w:val="nil"/>
            </w:tcBorders>
            <w:noWrap/>
            <w:vAlign w:val="center"/>
            <w:hideMark/>
          </w:tcPr>
          <w:p w14:paraId="7987F2EB" w14:textId="77777777" w:rsidR="00543531" w:rsidRPr="00543531" w:rsidRDefault="00543531" w:rsidP="005711CF">
            <w:pPr>
              <w:jc w:val="center"/>
              <w:rPr>
                <w:rFonts w:eastAsia="Times New Roman" w:cs="Times New Roman"/>
                <w:color w:val="000000"/>
                <w:szCs w:val="22"/>
              </w:rPr>
            </w:pPr>
            <w:r w:rsidRPr="00543531">
              <w:rPr>
                <w:rFonts w:asciiTheme="majorBidi" w:eastAsia="Times New Roman" w:hAnsiTheme="majorBidi" w:cstheme="majorBidi"/>
                <w:color w:val="000000"/>
                <w:szCs w:val="22"/>
              </w:rPr>
              <w:t>RF (%)</w:t>
            </w:r>
          </w:p>
        </w:tc>
        <w:tc>
          <w:tcPr>
            <w:tcW w:w="753" w:type="pct"/>
            <w:tcBorders>
              <w:top w:val="single" w:sz="4" w:space="0" w:color="auto"/>
              <w:left w:val="nil"/>
              <w:bottom w:val="single" w:sz="4" w:space="0" w:color="auto"/>
              <w:right w:val="nil"/>
            </w:tcBorders>
            <w:noWrap/>
            <w:vAlign w:val="center"/>
            <w:hideMark/>
          </w:tcPr>
          <w:p w14:paraId="6F7F10C9" w14:textId="77777777" w:rsidR="00543531" w:rsidRPr="00543531" w:rsidRDefault="00543531" w:rsidP="005711CF">
            <w:pPr>
              <w:jc w:val="center"/>
              <w:rPr>
                <w:rFonts w:eastAsia="Times New Roman" w:cs="Times New Roman"/>
                <w:color w:val="000000"/>
                <w:szCs w:val="22"/>
              </w:rPr>
            </w:pPr>
            <w:r w:rsidRPr="00543531">
              <w:rPr>
                <w:rFonts w:asciiTheme="majorBidi" w:eastAsia="Times New Roman" w:hAnsiTheme="majorBidi" w:cstheme="majorBidi"/>
                <w:color w:val="000000"/>
                <w:szCs w:val="22"/>
              </w:rPr>
              <w:t>RDo (%)</w:t>
            </w:r>
          </w:p>
        </w:tc>
        <w:tc>
          <w:tcPr>
            <w:tcW w:w="672" w:type="pct"/>
            <w:tcBorders>
              <w:top w:val="single" w:sz="4" w:space="0" w:color="auto"/>
              <w:left w:val="nil"/>
              <w:bottom w:val="single" w:sz="4" w:space="0" w:color="auto"/>
              <w:right w:val="nil"/>
            </w:tcBorders>
            <w:noWrap/>
            <w:vAlign w:val="center"/>
            <w:hideMark/>
          </w:tcPr>
          <w:p w14:paraId="78B3F31D" w14:textId="77777777" w:rsidR="00543531" w:rsidRPr="00543531" w:rsidRDefault="00543531" w:rsidP="005711CF">
            <w:pPr>
              <w:jc w:val="center"/>
              <w:rPr>
                <w:rFonts w:eastAsia="Times New Roman" w:cs="Times New Roman"/>
                <w:color w:val="000000"/>
                <w:szCs w:val="22"/>
              </w:rPr>
            </w:pPr>
            <w:r w:rsidRPr="00543531">
              <w:rPr>
                <w:rFonts w:asciiTheme="majorBidi" w:hAnsiTheme="majorBidi" w:cstheme="majorBidi"/>
                <w:szCs w:val="22"/>
              </w:rPr>
              <w:t>IVI</w:t>
            </w:r>
            <w:r w:rsidRPr="00543531">
              <w:rPr>
                <w:rFonts w:asciiTheme="majorBidi" w:eastAsia="Times New Roman" w:hAnsiTheme="majorBidi" w:cstheme="majorBidi"/>
                <w:color w:val="000000"/>
                <w:szCs w:val="22"/>
              </w:rPr>
              <w:t xml:space="preserve"> (%)</w:t>
            </w:r>
          </w:p>
        </w:tc>
      </w:tr>
      <w:tr w:rsidR="00543531" w:rsidRPr="00543531" w14:paraId="01221894" w14:textId="77777777" w:rsidTr="005711CF">
        <w:trPr>
          <w:trHeight w:val="20"/>
          <w:jc w:val="center"/>
        </w:trPr>
        <w:tc>
          <w:tcPr>
            <w:tcW w:w="459" w:type="pct"/>
            <w:noWrap/>
            <w:vAlign w:val="center"/>
            <w:hideMark/>
          </w:tcPr>
          <w:p w14:paraId="718FD7E3"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p>
        </w:tc>
        <w:tc>
          <w:tcPr>
            <w:tcW w:w="1612" w:type="pct"/>
            <w:noWrap/>
            <w:vAlign w:val="center"/>
            <w:hideMark/>
          </w:tcPr>
          <w:p w14:paraId="365A0405" w14:textId="1DF98425"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S. curtisii</w:t>
            </w:r>
          </w:p>
        </w:tc>
        <w:tc>
          <w:tcPr>
            <w:tcW w:w="752" w:type="pct"/>
            <w:noWrap/>
            <w:vAlign w:val="center"/>
            <w:hideMark/>
          </w:tcPr>
          <w:p w14:paraId="365904AA" w14:textId="68CC0371"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31</w:t>
            </w:r>
            <w:r w:rsidR="00AD68C4">
              <w:rPr>
                <w:rFonts w:eastAsia="Times New Roman" w:cs="Times New Roman"/>
                <w:color w:val="000000"/>
                <w:szCs w:val="22"/>
              </w:rPr>
              <w:t>.</w:t>
            </w:r>
            <w:r w:rsidRPr="00543531">
              <w:rPr>
                <w:rFonts w:eastAsia="Times New Roman" w:cs="Times New Roman"/>
                <w:color w:val="000000"/>
                <w:szCs w:val="22"/>
              </w:rPr>
              <w:t>86</w:t>
            </w:r>
          </w:p>
        </w:tc>
        <w:tc>
          <w:tcPr>
            <w:tcW w:w="752" w:type="pct"/>
            <w:noWrap/>
            <w:vAlign w:val="center"/>
            <w:hideMark/>
          </w:tcPr>
          <w:p w14:paraId="1014C73A" w14:textId="1EE8570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30</w:t>
            </w:r>
            <w:r w:rsidR="00AD68C4">
              <w:rPr>
                <w:rFonts w:eastAsia="Times New Roman" w:cs="Times New Roman"/>
                <w:color w:val="000000"/>
                <w:szCs w:val="22"/>
              </w:rPr>
              <w:t>.</w:t>
            </w:r>
            <w:r w:rsidRPr="00543531">
              <w:rPr>
                <w:rFonts w:eastAsia="Times New Roman" w:cs="Times New Roman"/>
                <w:color w:val="000000"/>
                <w:szCs w:val="22"/>
              </w:rPr>
              <w:t>43</w:t>
            </w:r>
          </w:p>
        </w:tc>
        <w:tc>
          <w:tcPr>
            <w:tcW w:w="753" w:type="pct"/>
            <w:noWrap/>
            <w:vAlign w:val="center"/>
            <w:hideMark/>
          </w:tcPr>
          <w:p w14:paraId="082BAAE7" w14:textId="421F180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34</w:t>
            </w:r>
            <w:r w:rsidR="00AD68C4">
              <w:rPr>
                <w:rFonts w:eastAsia="Times New Roman" w:cs="Times New Roman"/>
                <w:color w:val="000000"/>
                <w:szCs w:val="22"/>
              </w:rPr>
              <w:t>.</w:t>
            </w:r>
            <w:r w:rsidRPr="00543531">
              <w:rPr>
                <w:rFonts w:eastAsia="Times New Roman" w:cs="Times New Roman"/>
                <w:color w:val="000000"/>
                <w:szCs w:val="22"/>
              </w:rPr>
              <w:t>76</w:t>
            </w:r>
          </w:p>
        </w:tc>
        <w:tc>
          <w:tcPr>
            <w:tcW w:w="672" w:type="pct"/>
            <w:noWrap/>
            <w:vAlign w:val="center"/>
            <w:hideMark/>
          </w:tcPr>
          <w:p w14:paraId="0E48278E" w14:textId="5361067A"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97</w:t>
            </w:r>
            <w:r w:rsidR="00AD68C4">
              <w:rPr>
                <w:rFonts w:eastAsia="Times New Roman" w:cs="Times New Roman"/>
                <w:color w:val="000000"/>
                <w:szCs w:val="22"/>
              </w:rPr>
              <w:t>.</w:t>
            </w:r>
            <w:r w:rsidRPr="00543531">
              <w:rPr>
                <w:rFonts w:eastAsia="Times New Roman" w:cs="Times New Roman"/>
                <w:color w:val="000000"/>
                <w:szCs w:val="22"/>
              </w:rPr>
              <w:t>06</w:t>
            </w:r>
          </w:p>
        </w:tc>
      </w:tr>
      <w:tr w:rsidR="00543531" w:rsidRPr="00543531" w14:paraId="7D0AFEA4" w14:textId="77777777" w:rsidTr="005711CF">
        <w:trPr>
          <w:trHeight w:val="20"/>
          <w:jc w:val="center"/>
        </w:trPr>
        <w:tc>
          <w:tcPr>
            <w:tcW w:w="459" w:type="pct"/>
            <w:noWrap/>
            <w:vAlign w:val="center"/>
            <w:hideMark/>
          </w:tcPr>
          <w:p w14:paraId="14159CC4"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w:t>
            </w:r>
          </w:p>
        </w:tc>
        <w:tc>
          <w:tcPr>
            <w:tcW w:w="1612" w:type="pct"/>
            <w:noWrap/>
            <w:vAlign w:val="center"/>
            <w:hideMark/>
          </w:tcPr>
          <w:p w14:paraId="1C2BCB1F" w14:textId="084F4EDE"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H. beccariana</w:t>
            </w:r>
          </w:p>
        </w:tc>
        <w:tc>
          <w:tcPr>
            <w:tcW w:w="752" w:type="pct"/>
            <w:noWrap/>
            <w:vAlign w:val="center"/>
            <w:hideMark/>
          </w:tcPr>
          <w:p w14:paraId="571C20EA" w14:textId="06018964"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16</w:t>
            </w:r>
            <w:r w:rsidR="00AD68C4">
              <w:rPr>
                <w:rFonts w:eastAsia="Times New Roman" w:cs="Times New Roman"/>
                <w:color w:val="000000"/>
                <w:szCs w:val="22"/>
              </w:rPr>
              <w:t>.</w:t>
            </w:r>
            <w:r w:rsidRPr="00543531">
              <w:rPr>
                <w:rFonts w:eastAsia="Times New Roman" w:cs="Times New Roman"/>
                <w:color w:val="000000"/>
                <w:szCs w:val="22"/>
              </w:rPr>
              <w:t>81</w:t>
            </w:r>
          </w:p>
        </w:tc>
        <w:tc>
          <w:tcPr>
            <w:tcW w:w="752" w:type="pct"/>
            <w:noWrap/>
            <w:vAlign w:val="center"/>
            <w:hideMark/>
          </w:tcPr>
          <w:p w14:paraId="6D279F7D" w14:textId="3C652888"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17</w:t>
            </w:r>
            <w:r w:rsidR="00AD68C4">
              <w:rPr>
                <w:rFonts w:eastAsia="Times New Roman" w:cs="Times New Roman"/>
                <w:color w:val="000000"/>
                <w:szCs w:val="22"/>
              </w:rPr>
              <w:t>.</w:t>
            </w:r>
            <w:r w:rsidRPr="00543531">
              <w:rPr>
                <w:rFonts w:eastAsia="Times New Roman" w:cs="Times New Roman"/>
                <w:color w:val="000000"/>
                <w:szCs w:val="22"/>
              </w:rPr>
              <w:t>39</w:t>
            </w:r>
          </w:p>
        </w:tc>
        <w:tc>
          <w:tcPr>
            <w:tcW w:w="753" w:type="pct"/>
            <w:noWrap/>
            <w:vAlign w:val="center"/>
            <w:hideMark/>
          </w:tcPr>
          <w:p w14:paraId="241E64EA" w14:textId="45FAEC72"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14</w:t>
            </w:r>
            <w:r w:rsidR="00AD68C4">
              <w:rPr>
                <w:rFonts w:eastAsia="Times New Roman" w:cs="Times New Roman"/>
                <w:color w:val="000000"/>
                <w:szCs w:val="22"/>
              </w:rPr>
              <w:t>.</w:t>
            </w:r>
            <w:r w:rsidRPr="00543531">
              <w:rPr>
                <w:rFonts w:eastAsia="Times New Roman" w:cs="Times New Roman"/>
                <w:color w:val="000000"/>
                <w:szCs w:val="22"/>
              </w:rPr>
              <w:t>11</w:t>
            </w:r>
          </w:p>
        </w:tc>
        <w:tc>
          <w:tcPr>
            <w:tcW w:w="672" w:type="pct"/>
            <w:noWrap/>
            <w:vAlign w:val="center"/>
            <w:hideMark/>
          </w:tcPr>
          <w:p w14:paraId="3D122B11" w14:textId="29238E62"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48</w:t>
            </w:r>
            <w:r w:rsidR="00AD68C4">
              <w:rPr>
                <w:rFonts w:eastAsia="Times New Roman" w:cs="Times New Roman"/>
                <w:color w:val="000000"/>
                <w:szCs w:val="22"/>
              </w:rPr>
              <w:t>.</w:t>
            </w:r>
            <w:r w:rsidRPr="00543531">
              <w:rPr>
                <w:rFonts w:eastAsia="Times New Roman" w:cs="Times New Roman"/>
                <w:color w:val="000000"/>
                <w:szCs w:val="22"/>
              </w:rPr>
              <w:t>31</w:t>
            </w:r>
          </w:p>
        </w:tc>
      </w:tr>
      <w:tr w:rsidR="00543531" w:rsidRPr="00543531" w14:paraId="0495AB2E" w14:textId="77777777" w:rsidTr="005711CF">
        <w:trPr>
          <w:trHeight w:val="20"/>
          <w:jc w:val="center"/>
        </w:trPr>
        <w:tc>
          <w:tcPr>
            <w:tcW w:w="459" w:type="pct"/>
            <w:noWrap/>
            <w:vAlign w:val="center"/>
            <w:hideMark/>
          </w:tcPr>
          <w:p w14:paraId="29D7E71F"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w:t>
            </w:r>
          </w:p>
        </w:tc>
        <w:tc>
          <w:tcPr>
            <w:tcW w:w="1612" w:type="pct"/>
            <w:noWrap/>
            <w:vAlign w:val="center"/>
            <w:hideMark/>
          </w:tcPr>
          <w:p w14:paraId="5ACA4862" w14:textId="659162CD"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D. rigidus</w:t>
            </w:r>
          </w:p>
        </w:tc>
        <w:tc>
          <w:tcPr>
            <w:tcW w:w="752" w:type="pct"/>
            <w:noWrap/>
            <w:vAlign w:val="center"/>
            <w:hideMark/>
          </w:tcPr>
          <w:p w14:paraId="1D47B351" w14:textId="1E602D9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w:t>
            </w:r>
            <w:r w:rsidR="00AD68C4">
              <w:rPr>
                <w:rFonts w:eastAsia="Times New Roman" w:cs="Times New Roman"/>
                <w:color w:val="000000"/>
                <w:szCs w:val="22"/>
              </w:rPr>
              <w:t>.</w:t>
            </w:r>
            <w:r w:rsidRPr="00543531">
              <w:rPr>
                <w:rFonts w:eastAsia="Times New Roman" w:cs="Times New Roman"/>
                <w:color w:val="000000"/>
                <w:szCs w:val="22"/>
              </w:rPr>
              <w:t>62</w:t>
            </w:r>
          </w:p>
        </w:tc>
        <w:tc>
          <w:tcPr>
            <w:tcW w:w="752" w:type="pct"/>
            <w:noWrap/>
            <w:vAlign w:val="center"/>
            <w:hideMark/>
          </w:tcPr>
          <w:p w14:paraId="62B6EA7D" w14:textId="558908F3"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w:t>
            </w:r>
            <w:r w:rsidR="00AD68C4">
              <w:rPr>
                <w:rFonts w:eastAsia="Times New Roman" w:cs="Times New Roman"/>
                <w:color w:val="000000"/>
                <w:szCs w:val="22"/>
              </w:rPr>
              <w:t>.</w:t>
            </w:r>
            <w:r w:rsidRPr="00543531">
              <w:rPr>
                <w:rFonts w:eastAsia="Times New Roman" w:cs="Times New Roman"/>
                <w:color w:val="000000"/>
                <w:szCs w:val="22"/>
              </w:rPr>
              <w:t>87</w:t>
            </w:r>
          </w:p>
        </w:tc>
        <w:tc>
          <w:tcPr>
            <w:tcW w:w="753" w:type="pct"/>
            <w:noWrap/>
            <w:vAlign w:val="center"/>
            <w:hideMark/>
          </w:tcPr>
          <w:p w14:paraId="1E4EA2DE" w14:textId="2E535B68"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22</w:t>
            </w:r>
            <w:r w:rsidR="00AD68C4">
              <w:rPr>
                <w:rFonts w:eastAsia="Times New Roman" w:cs="Times New Roman"/>
                <w:color w:val="000000"/>
                <w:szCs w:val="22"/>
              </w:rPr>
              <w:t>.</w:t>
            </w:r>
            <w:r w:rsidRPr="00543531">
              <w:rPr>
                <w:rFonts w:eastAsia="Times New Roman" w:cs="Times New Roman"/>
                <w:color w:val="000000"/>
                <w:szCs w:val="22"/>
              </w:rPr>
              <w:t>26</w:t>
            </w:r>
          </w:p>
        </w:tc>
        <w:tc>
          <w:tcPr>
            <w:tcW w:w="672" w:type="pct"/>
            <w:noWrap/>
            <w:vAlign w:val="center"/>
            <w:hideMark/>
          </w:tcPr>
          <w:p w14:paraId="49CACFE0" w14:textId="08A26A52"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43</w:t>
            </w:r>
            <w:r w:rsidR="00AD68C4">
              <w:rPr>
                <w:rFonts w:eastAsia="Times New Roman" w:cs="Times New Roman"/>
                <w:color w:val="000000"/>
                <w:szCs w:val="22"/>
              </w:rPr>
              <w:t>.</w:t>
            </w:r>
            <w:r w:rsidRPr="00543531">
              <w:rPr>
                <w:rFonts w:eastAsia="Times New Roman" w:cs="Times New Roman"/>
                <w:color w:val="000000"/>
                <w:szCs w:val="22"/>
              </w:rPr>
              <w:t>75</w:t>
            </w:r>
          </w:p>
        </w:tc>
      </w:tr>
      <w:tr w:rsidR="00543531" w:rsidRPr="00543531" w14:paraId="1762AB5B" w14:textId="77777777" w:rsidTr="005711CF">
        <w:trPr>
          <w:trHeight w:val="20"/>
          <w:jc w:val="center"/>
        </w:trPr>
        <w:tc>
          <w:tcPr>
            <w:tcW w:w="459" w:type="pct"/>
            <w:noWrap/>
            <w:vAlign w:val="center"/>
            <w:hideMark/>
          </w:tcPr>
          <w:p w14:paraId="7CD4BF47"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4</w:t>
            </w:r>
          </w:p>
        </w:tc>
        <w:tc>
          <w:tcPr>
            <w:tcW w:w="1612" w:type="pct"/>
            <w:noWrap/>
            <w:vAlign w:val="center"/>
            <w:hideMark/>
          </w:tcPr>
          <w:p w14:paraId="08BAF025" w14:textId="15884F9B"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V. pauciflora</w:t>
            </w:r>
          </w:p>
        </w:tc>
        <w:tc>
          <w:tcPr>
            <w:tcW w:w="752" w:type="pct"/>
            <w:noWrap/>
            <w:vAlign w:val="center"/>
            <w:hideMark/>
          </w:tcPr>
          <w:p w14:paraId="069B7DE8" w14:textId="3365AC4A"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9</w:t>
            </w:r>
            <w:r w:rsidR="00AD68C4">
              <w:rPr>
                <w:rFonts w:eastAsia="Times New Roman" w:cs="Times New Roman"/>
                <w:color w:val="000000"/>
                <w:szCs w:val="22"/>
              </w:rPr>
              <w:t>.</w:t>
            </w:r>
            <w:r w:rsidRPr="00543531">
              <w:rPr>
                <w:rFonts w:eastAsia="Times New Roman" w:cs="Times New Roman"/>
                <w:color w:val="000000"/>
                <w:szCs w:val="22"/>
              </w:rPr>
              <w:t>73</w:t>
            </w:r>
          </w:p>
        </w:tc>
        <w:tc>
          <w:tcPr>
            <w:tcW w:w="752" w:type="pct"/>
            <w:noWrap/>
            <w:vAlign w:val="center"/>
            <w:hideMark/>
          </w:tcPr>
          <w:p w14:paraId="1639E52E" w14:textId="163DFBB4"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9</w:t>
            </w:r>
            <w:r w:rsidR="00AD68C4">
              <w:rPr>
                <w:rFonts w:eastAsia="Times New Roman" w:cs="Times New Roman"/>
                <w:color w:val="000000"/>
                <w:szCs w:val="22"/>
              </w:rPr>
              <w:t>.</w:t>
            </w:r>
            <w:r w:rsidRPr="00543531">
              <w:rPr>
                <w:rFonts w:eastAsia="Times New Roman" w:cs="Times New Roman"/>
                <w:color w:val="000000"/>
                <w:szCs w:val="22"/>
              </w:rPr>
              <w:t>78</w:t>
            </w:r>
          </w:p>
        </w:tc>
        <w:tc>
          <w:tcPr>
            <w:tcW w:w="753" w:type="pct"/>
            <w:noWrap/>
            <w:vAlign w:val="center"/>
            <w:hideMark/>
          </w:tcPr>
          <w:p w14:paraId="4619DC85" w14:textId="77951978"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4</w:t>
            </w:r>
            <w:r w:rsidR="00AD68C4">
              <w:rPr>
                <w:rFonts w:eastAsia="Times New Roman" w:cs="Times New Roman"/>
                <w:color w:val="000000"/>
                <w:szCs w:val="22"/>
              </w:rPr>
              <w:t>.</w:t>
            </w:r>
            <w:r w:rsidRPr="00543531">
              <w:rPr>
                <w:rFonts w:eastAsia="Times New Roman" w:cs="Times New Roman"/>
                <w:color w:val="000000"/>
                <w:szCs w:val="22"/>
              </w:rPr>
              <w:t>24</w:t>
            </w:r>
          </w:p>
        </w:tc>
        <w:tc>
          <w:tcPr>
            <w:tcW w:w="672" w:type="pct"/>
            <w:noWrap/>
            <w:vAlign w:val="center"/>
            <w:hideMark/>
          </w:tcPr>
          <w:p w14:paraId="692DA6BE" w14:textId="712F26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23</w:t>
            </w:r>
            <w:r w:rsidR="00AD68C4">
              <w:rPr>
                <w:rFonts w:eastAsia="Times New Roman" w:cs="Times New Roman"/>
                <w:color w:val="000000"/>
                <w:szCs w:val="22"/>
              </w:rPr>
              <w:t>.</w:t>
            </w:r>
            <w:r w:rsidRPr="00543531">
              <w:rPr>
                <w:rFonts w:eastAsia="Times New Roman" w:cs="Times New Roman"/>
                <w:color w:val="000000"/>
                <w:szCs w:val="22"/>
              </w:rPr>
              <w:t>76</w:t>
            </w:r>
          </w:p>
        </w:tc>
      </w:tr>
      <w:tr w:rsidR="00543531" w:rsidRPr="00543531" w14:paraId="14BE23D9" w14:textId="77777777" w:rsidTr="005711CF">
        <w:trPr>
          <w:trHeight w:val="20"/>
          <w:jc w:val="center"/>
        </w:trPr>
        <w:tc>
          <w:tcPr>
            <w:tcW w:w="459" w:type="pct"/>
            <w:noWrap/>
            <w:vAlign w:val="center"/>
            <w:hideMark/>
          </w:tcPr>
          <w:p w14:paraId="3F547DDA"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5</w:t>
            </w:r>
          </w:p>
        </w:tc>
        <w:tc>
          <w:tcPr>
            <w:tcW w:w="1612" w:type="pct"/>
            <w:noWrap/>
            <w:vAlign w:val="center"/>
            <w:hideMark/>
          </w:tcPr>
          <w:p w14:paraId="276CEC17" w14:textId="2962ADD3"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V. cuspidata</w:t>
            </w:r>
          </w:p>
        </w:tc>
        <w:tc>
          <w:tcPr>
            <w:tcW w:w="752" w:type="pct"/>
            <w:noWrap/>
            <w:vAlign w:val="center"/>
            <w:hideMark/>
          </w:tcPr>
          <w:p w14:paraId="18A9E44E" w14:textId="3C14ABDE"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7</w:t>
            </w:r>
            <w:r w:rsidR="00AD68C4">
              <w:rPr>
                <w:rFonts w:eastAsia="Times New Roman" w:cs="Times New Roman"/>
                <w:color w:val="000000"/>
                <w:szCs w:val="22"/>
              </w:rPr>
              <w:t>.</w:t>
            </w:r>
            <w:r w:rsidRPr="00543531">
              <w:rPr>
                <w:rFonts w:eastAsia="Times New Roman" w:cs="Times New Roman"/>
                <w:color w:val="000000"/>
                <w:szCs w:val="22"/>
              </w:rPr>
              <w:t>08</w:t>
            </w:r>
          </w:p>
        </w:tc>
        <w:tc>
          <w:tcPr>
            <w:tcW w:w="752" w:type="pct"/>
            <w:noWrap/>
            <w:vAlign w:val="center"/>
            <w:hideMark/>
          </w:tcPr>
          <w:p w14:paraId="48A855C8" w14:textId="5D4BE076"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8</w:t>
            </w:r>
            <w:r w:rsidR="00AD68C4">
              <w:rPr>
                <w:rFonts w:eastAsia="Times New Roman" w:cs="Times New Roman"/>
                <w:color w:val="000000"/>
                <w:szCs w:val="22"/>
              </w:rPr>
              <w:t>.</w:t>
            </w:r>
            <w:r w:rsidRPr="00543531">
              <w:rPr>
                <w:rFonts w:eastAsia="Times New Roman" w:cs="Times New Roman"/>
                <w:color w:val="000000"/>
                <w:szCs w:val="22"/>
              </w:rPr>
              <w:t>70</w:t>
            </w:r>
          </w:p>
        </w:tc>
        <w:tc>
          <w:tcPr>
            <w:tcW w:w="753" w:type="pct"/>
            <w:noWrap/>
            <w:vAlign w:val="center"/>
            <w:hideMark/>
          </w:tcPr>
          <w:p w14:paraId="7CEFC480" w14:textId="2E87649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5</w:t>
            </w:r>
            <w:r w:rsidR="00AD68C4">
              <w:rPr>
                <w:rFonts w:eastAsia="Times New Roman" w:cs="Times New Roman"/>
                <w:color w:val="000000"/>
                <w:szCs w:val="22"/>
              </w:rPr>
              <w:t>.</w:t>
            </w:r>
            <w:r w:rsidRPr="00543531">
              <w:rPr>
                <w:rFonts w:eastAsia="Times New Roman" w:cs="Times New Roman"/>
                <w:color w:val="000000"/>
                <w:szCs w:val="22"/>
              </w:rPr>
              <w:t>81</w:t>
            </w:r>
          </w:p>
        </w:tc>
        <w:tc>
          <w:tcPr>
            <w:tcW w:w="672" w:type="pct"/>
            <w:noWrap/>
            <w:vAlign w:val="center"/>
            <w:hideMark/>
          </w:tcPr>
          <w:p w14:paraId="15526374" w14:textId="0C10B865"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21</w:t>
            </w:r>
            <w:r w:rsidR="00AD68C4">
              <w:rPr>
                <w:rFonts w:eastAsia="Times New Roman" w:cs="Times New Roman"/>
                <w:color w:val="000000"/>
                <w:szCs w:val="22"/>
              </w:rPr>
              <w:t>.</w:t>
            </w:r>
            <w:r w:rsidRPr="00543531">
              <w:rPr>
                <w:rFonts w:eastAsia="Times New Roman" w:cs="Times New Roman"/>
                <w:color w:val="000000"/>
                <w:szCs w:val="22"/>
              </w:rPr>
              <w:t>59</w:t>
            </w:r>
          </w:p>
        </w:tc>
      </w:tr>
      <w:tr w:rsidR="00543531" w:rsidRPr="00543531" w14:paraId="3BFFFF03" w14:textId="77777777" w:rsidTr="005711CF">
        <w:trPr>
          <w:trHeight w:val="20"/>
          <w:jc w:val="center"/>
        </w:trPr>
        <w:tc>
          <w:tcPr>
            <w:tcW w:w="459" w:type="pct"/>
            <w:noWrap/>
            <w:vAlign w:val="center"/>
            <w:hideMark/>
          </w:tcPr>
          <w:p w14:paraId="5D71F2FA"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6</w:t>
            </w:r>
          </w:p>
        </w:tc>
        <w:tc>
          <w:tcPr>
            <w:tcW w:w="1612" w:type="pct"/>
            <w:noWrap/>
            <w:vAlign w:val="center"/>
            <w:hideMark/>
          </w:tcPr>
          <w:p w14:paraId="77835508" w14:textId="49B33A30"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H. mengarawan</w:t>
            </w:r>
          </w:p>
        </w:tc>
        <w:tc>
          <w:tcPr>
            <w:tcW w:w="752" w:type="pct"/>
            <w:noWrap/>
            <w:vAlign w:val="center"/>
            <w:hideMark/>
          </w:tcPr>
          <w:p w14:paraId="0462098C" w14:textId="5524493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7</w:t>
            </w:r>
            <w:r w:rsidR="00AD68C4">
              <w:rPr>
                <w:rFonts w:eastAsia="Times New Roman" w:cs="Times New Roman"/>
                <w:color w:val="000000"/>
                <w:szCs w:val="22"/>
              </w:rPr>
              <w:t>.</w:t>
            </w:r>
            <w:r w:rsidRPr="00543531">
              <w:rPr>
                <w:rFonts w:eastAsia="Times New Roman" w:cs="Times New Roman"/>
                <w:color w:val="000000"/>
                <w:szCs w:val="22"/>
              </w:rPr>
              <w:t>08</w:t>
            </w:r>
          </w:p>
        </w:tc>
        <w:tc>
          <w:tcPr>
            <w:tcW w:w="752" w:type="pct"/>
            <w:noWrap/>
            <w:vAlign w:val="center"/>
            <w:hideMark/>
          </w:tcPr>
          <w:p w14:paraId="4014FA3B" w14:textId="648740B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8</w:t>
            </w:r>
            <w:r w:rsidR="00AD68C4">
              <w:rPr>
                <w:rFonts w:eastAsia="Times New Roman" w:cs="Times New Roman"/>
                <w:color w:val="000000"/>
                <w:szCs w:val="22"/>
              </w:rPr>
              <w:t>.</w:t>
            </w:r>
            <w:r w:rsidRPr="00543531">
              <w:rPr>
                <w:rFonts w:eastAsia="Times New Roman" w:cs="Times New Roman"/>
                <w:color w:val="000000"/>
                <w:szCs w:val="22"/>
              </w:rPr>
              <w:t>70</w:t>
            </w:r>
          </w:p>
        </w:tc>
        <w:tc>
          <w:tcPr>
            <w:tcW w:w="753" w:type="pct"/>
            <w:noWrap/>
            <w:vAlign w:val="center"/>
            <w:hideMark/>
          </w:tcPr>
          <w:p w14:paraId="7FD07003" w14:textId="5CDF5166"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4</w:t>
            </w:r>
            <w:r w:rsidR="00AD68C4">
              <w:rPr>
                <w:rFonts w:eastAsia="Times New Roman" w:cs="Times New Roman"/>
                <w:color w:val="000000"/>
                <w:szCs w:val="22"/>
              </w:rPr>
              <w:t>.</w:t>
            </w:r>
            <w:r w:rsidRPr="00543531">
              <w:rPr>
                <w:rFonts w:eastAsia="Times New Roman" w:cs="Times New Roman"/>
                <w:color w:val="000000"/>
                <w:szCs w:val="22"/>
              </w:rPr>
              <w:t>51</w:t>
            </w:r>
          </w:p>
        </w:tc>
        <w:tc>
          <w:tcPr>
            <w:tcW w:w="672" w:type="pct"/>
            <w:noWrap/>
            <w:vAlign w:val="center"/>
            <w:hideMark/>
          </w:tcPr>
          <w:p w14:paraId="7A662756" w14:textId="2D292D9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20</w:t>
            </w:r>
            <w:r w:rsidR="00AD68C4">
              <w:rPr>
                <w:rFonts w:eastAsia="Times New Roman" w:cs="Times New Roman"/>
                <w:color w:val="000000"/>
                <w:szCs w:val="22"/>
              </w:rPr>
              <w:t>.</w:t>
            </w:r>
            <w:r w:rsidRPr="00543531">
              <w:rPr>
                <w:rFonts w:eastAsia="Times New Roman" w:cs="Times New Roman"/>
                <w:color w:val="000000"/>
                <w:szCs w:val="22"/>
              </w:rPr>
              <w:t>29</w:t>
            </w:r>
          </w:p>
        </w:tc>
      </w:tr>
      <w:tr w:rsidR="00543531" w:rsidRPr="00543531" w14:paraId="59DE24C0" w14:textId="77777777" w:rsidTr="005711CF">
        <w:trPr>
          <w:trHeight w:val="20"/>
          <w:jc w:val="center"/>
        </w:trPr>
        <w:tc>
          <w:tcPr>
            <w:tcW w:w="459" w:type="pct"/>
            <w:noWrap/>
            <w:vAlign w:val="center"/>
            <w:hideMark/>
          </w:tcPr>
          <w:p w14:paraId="66E6D7CD"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7</w:t>
            </w:r>
          </w:p>
        </w:tc>
        <w:tc>
          <w:tcPr>
            <w:tcW w:w="1612" w:type="pct"/>
            <w:noWrap/>
            <w:vAlign w:val="center"/>
            <w:hideMark/>
          </w:tcPr>
          <w:p w14:paraId="40F1B8C7" w14:textId="7BCC28AA"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D. elongatus</w:t>
            </w:r>
            <w:r w:rsidRPr="00543531">
              <w:rPr>
                <w:rFonts w:eastAsia="Times New Roman" w:cs="Times New Roman"/>
                <w:iCs/>
                <w:szCs w:val="22"/>
              </w:rPr>
              <w:t>.</w:t>
            </w:r>
          </w:p>
        </w:tc>
        <w:tc>
          <w:tcPr>
            <w:tcW w:w="752" w:type="pct"/>
            <w:noWrap/>
            <w:vAlign w:val="center"/>
            <w:hideMark/>
          </w:tcPr>
          <w:p w14:paraId="144A73F3" w14:textId="387AC6AB"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7</w:t>
            </w:r>
            <w:r w:rsidR="00AD68C4">
              <w:rPr>
                <w:rFonts w:eastAsia="Times New Roman" w:cs="Times New Roman"/>
                <w:color w:val="000000"/>
                <w:szCs w:val="22"/>
              </w:rPr>
              <w:t>.</w:t>
            </w:r>
            <w:r w:rsidRPr="00543531">
              <w:rPr>
                <w:rFonts w:eastAsia="Times New Roman" w:cs="Times New Roman"/>
                <w:color w:val="000000"/>
                <w:szCs w:val="22"/>
              </w:rPr>
              <w:t>96</w:t>
            </w:r>
          </w:p>
        </w:tc>
        <w:tc>
          <w:tcPr>
            <w:tcW w:w="752" w:type="pct"/>
            <w:noWrap/>
            <w:vAlign w:val="center"/>
            <w:hideMark/>
          </w:tcPr>
          <w:p w14:paraId="074EF9F6" w14:textId="09C405DE"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4</w:t>
            </w:r>
            <w:r w:rsidR="00AD68C4">
              <w:rPr>
                <w:rFonts w:eastAsia="Times New Roman" w:cs="Times New Roman"/>
                <w:color w:val="000000"/>
                <w:szCs w:val="22"/>
              </w:rPr>
              <w:t>.</w:t>
            </w:r>
            <w:r w:rsidRPr="00543531">
              <w:rPr>
                <w:rFonts w:eastAsia="Times New Roman" w:cs="Times New Roman"/>
                <w:color w:val="000000"/>
                <w:szCs w:val="22"/>
              </w:rPr>
              <w:t>35</w:t>
            </w:r>
          </w:p>
        </w:tc>
        <w:tc>
          <w:tcPr>
            <w:tcW w:w="753" w:type="pct"/>
            <w:noWrap/>
            <w:vAlign w:val="center"/>
            <w:hideMark/>
          </w:tcPr>
          <w:p w14:paraId="7BD80D2F" w14:textId="5F400031"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6</w:t>
            </w:r>
            <w:r w:rsidR="00AD68C4">
              <w:rPr>
                <w:rFonts w:eastAsia="Times New Roman" w:cs="Times New Roman"/>
                <w:color w:val="000000"/>
                <w:szCs w:val="22"/>
              </w:rPr>
              <w:t>.</w:t>
            </w:r>
            <w:r w:rsidRPr="00543531">
              <w:rPr>
                <w:rFonts w:eastAsia="Times New Roman" w:cs="Times New Roman"/>
                <w:color w:val="000000"/>
                <w:szCs w:val="22"/>
              </w:rPr>
              <w:t>93</w:t>
            </w:r>
          </w:p>
        </w:tc>
        <w:tc>
          <w:tcPr>
            <w:tcW w:w="672" w:type="pct"/>
            <w:noWrap/>
            <w:vAlign w:val="center"/>
            <w:hideMark/>
          </w:tcPr>
          <w:p w14:paraId="2A7EB478" w14:textId="345EEA7A"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19</w:t>
            </w:r>
            <w:r w:rsidR="00AD68C4">
              <w:rPr>
                <w:rFonts w:eastAsia="Times New Roman" w:cs="Times New Roman"/>
                <w:color w:val="000000"/>
                <w:szCs w:val="22"/>
              </w:rPr>
              <w:t>.</w:t>
            </w:r>
            <w:r w:rsidRPr="00543531">
              <w:rPr>
                <w:rFonts w:eastAsia="Times New Roman" w:cs="Times New Roman"/>
                <w:color w:val="000000"/>
                <w:szCs w:val="22"/>
              </w:rPr>
              <w:t>24</w:t>
            </w:r>
          </w:p>
        </w:tc>
      </w:tr>
      <w:tr w:rsidR="00543531" w:rsidRPr="00543531" w14:paraId="5E7DB5CF" w14:textId="77777777" w:rsidTr="005711CF">
        <w:trPr>
          <w:trHeight w:val="20"/>
          <w:jc w:val="center"/>
        </w:trPr>
        <w:tc>
          <w:tcPr>
            <w:tcW w:w="459" w:type="pct"/>
            <w:noWrap/>
            <w:vAlign w:val="center"/>
            <w:hideMark/>
          </w:tcPr>
          <w:p w14:paraId="3A34CCB1"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8</w:t>
            </w:r>
          </w:p>
        </w:tc>
        <w:tc>
          <w:tcPr>
            <w:tcW w:w="1612" w:type="pct"/>
            <w:noWrap/>
            <w:vAlign w:val="center"/>
            <w:hideMark/>
          </w:tcPr>
          <w:p w14:paraId="169D6E35" w14:textId="6240EACE"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S. falcifera</w:t>
            </w:r>
          </w:p>
        </w:tc>
        <w:tc>
          <w:tcPr>
            <w:tcW w:w="752" w:type="pct"/>
            <w:noWrap/>
            <w:vAlign w:val="center"/>
            <w:hideMark/>
          </w:tcPr>
          <w:p w14:paraId="30999ACE" w14:textId="664D47AC"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w:t>
            </w:r>
            <w:r w:rsidR="00AD68C4">
              <w:rPr>
                <w:rFonts w:eastAsia="Times New Roman" w:cs="Times New Roman"/>
                <w:color w:val="000000"/>
                <w:szCs w:val="22"/>
              </w:rPr>
              <w:t>.</w:t>
            </w:r>
            <w:r w:rsidRPr="00543531">
              <w:rPr>
                <w:rFonts w:eastAsia="Times New Roman" w:cs="Times New Roman"/>
                <w:color w:val="000000"/>
                <w:szCs w:val="22"/>
              </w:rPr>
              <w:t>54</w:t>
            </w:r>
          </w:p>
        </w:tc>
        <w:tc>
          <w:tcPr>
            <w:tcW w:w="752" w:type="pct"/>
            <w:noWrap/>
            <w:vAlign w:val="center"/>
            <w:hideMark/>
          </w:tcPr>
          <w:p w14:paraId="0FD4A97B" w14:textId="6BC03BB3"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w:t>
            </w:r>
            <w:r w:rsidR="00AD68C4">
              <w:rPr>
                <w:rFonts w:eastAsia="Times New Roman" w:cs="Times New Roman"/>
                <w:color w:val="000000"/>
                <w:szCs w:val="22"/>
              </w:rPr>
              <w:t>.</w:t>
            </w:r>
            <w:r w:rsidRPr="00543531">
              <w:rPr>
                <w:rFonts w:eastAsia="Times New Roman" w:cs="Times New Roman"/>
                <w:color w:val="000000"/>
                <w:szCs w:val="22"/>
              </w:rPr>
              <w:t>26</w:t>
            </w:r>
          </w:p>
        </w:tc>
        <w:tc>
          <w:tcPr>
            <w:tcW w:w="753" w:type="pct"/>
            <w:noWrap/>
            <w:vAlign w:val="center"/>
            <w:hideMark/>
          </w:tcPr>
          <w:p w14:paraId="6C768296" w14:textId="7C5CD71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w:t>
            </w:r>
            <w:r w:rsidR="00AD68C4">
              <w:rPr>
                <w:rFonts w:eastAsia="Times New Roman" w:cs="Times New Roman"/>
                <w:color w:val="000000"/>
                <w:szCs w:val="22"/>
              </w:rPr>
              <w:t>.</w:t>
            </w:r>
            <w:r w:rsidRPr="00543531">
              <w:rPr>
                <w:rFonts w:eastAsia="Times New Roman" w:cs="Times New Roman"/>
                <w:color w:val="000000"/>
                <w:szCs w:val="22"/>
              </w:rPr>
              <w:t>83</w:t>
            </w:r>
          </w:p>
        </w:tc>
        <w:tc>
          <w:tcPr>
            <w:tcW w:w="672" w:type="pct"/>
            <w:noWrap/>
            <w:vAlign w:val="center"/>
            <w:hideMark/>
          </w:tcPr>
          <w:p w14:paraId="197CA975" w14:textId="5B5A0EB4"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w:t>
            </w:r>
            <w:r w:rsidR="00AD68C4">
              <w:rPr>
                <w:rFonts w:eastAsia="Times New Roman" w:cs="Times New Roman"/>
                <w:color w:val="000000"/>
                <w:szCs w:val="22"/>
              </w:rPr>
              <w:t>.</w:t>
            </w:r>
            <w:r w:rsidRPr="00543531">
              <w:rPr>
                <w:rFonts w:eastAsia="Times New Roman" w:cs="Times New Roman"/>
                <w:color w:val="000000"/>
                <w:szCs w:val="22"/>
              </w:rPr>
              <w:t>63</w:t>
            </w:r>
          </w:p>
        </w:tc>
      </w:tr>
      <w:tr w:rsidR="00543531" w:rsidRPr="00543531" w14:paraId="12719F9F" w14:textId="77777777" w:rsidTr="005711CF">
        <w:trPr>
          <w:trHeight w:val="20"/>
          <w:jc w:val="center"/>
        </w:trPr>
        <w:tc>
          <w:tcPr>
            <w:tcW w:w="459" w:type="pct"/>
            <w:noWrap/>
            <w:vAlign w:val="center"/>
            <w:hideMark/>
          </w:tcPr>
          <w:p w14:paraId="17B4AAE8"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9</w:t>
            </w:r>
          </w:p>
        </w:tc>
        <w:tc>
          <w:tcPr>
            <w:tcW w:w="1612" w:type="pct"/>
            <w:noWrap/>
            <w:vAlign w:val="center"/>
            <w:hideMark/>
          </w:tcPr>
          <w:p w14:paraId="090D3E8E" w14:textId="77777777"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color w:val="000000"/>
                <w:szCs w:val="22"/>
              </w:rPr>
              <w:t>S. velutinata</w:t>
            </w:r>
          </w:p>
        </w:tc>
        <w:tc>
          <w:tcPr>
            <w:tcW w:w="752" w:type="pct"/>
            <w:noWrap/>
            <w:vAlign w:val="center"/>
            <w:hideMark/>
          </w:tcPr>
          <w:p w14:paraId="5C2590DF" w14:textId="1131F033"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r w:rsidR="00AD68C4">
              <w:rPr>
                <w:rFonts w:eastAsia="Times New Roman" w:cs="Times New Roman"/>
                <w:color w:val="000000"/>
                <w:szCs w:val="22"/>
              </w:rPr>
              <w:t>.</w:t>
            </w:r>
            <w:r w:rsidRPr="00543531">
              <w:rPr>
                <w:rFonts w:eastAsia="Times New Roman" w:cs="Times New Roman"/>
                <w:color w:val="000000"/>
                <w:szCs w:val="22"/>
              </w:rPr>
              <w:t>77</w:t>
            </w:r>
          </w:p>
        </w:tc>
        <w:tc>
          <w:tcPr>
            <w:tcW w:w="752" w:type="pct"/>
            <w:noWrap/>
            <w:vAlign w:val="center"/>
            <w:hideMark/>
          </w:tcPr>
          <w:p w14:paraId="28339933" w14:textId="698B2390"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w:t>
            </w:r>
            <w:r w:rsidR="00AD68C4">
              <w:rPr>
                <w:rFonts w:eastAsia="Times New Roman" w:cs="Times New Roman"/>
                <w:color w:val="000000"/>
                <w:szCs w:val="22"/>
              </w:rPr>
              <w:t>.</w:t>
            </w:r>
            <w:r w:rsidRPr="00543531">
              <w:rPr>
                <w:rFonts w:eastAsia="Times New Roman" w:cs="Times New Roman"/>
                <w:color w:val="000000"/>
                <w:szCs w:val="22"/>
              </w:rPr>
              <w:t>17</w:t>
            </w:r>
          </w:p>
        </w:tc>
        <w:tc>
          <w:tcPr>
            <w:tcW w:w="753" w:type="pct"/>
            <w:noWrap/>
            <w:vAlign w:val="center"/>
            <w:hideMark/>
          </w:tcPr>
          <w:p w14:paraId="5E88F95D" w14:textId="76601E75"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r w:rsidR="00AD68C4">
              <w:rPr>
                <w:rFonts w:eastAsia="Times New Roman" w:cs="Times New Roman"/>
                <w:color w:val="000000"/>
                <w:szCs w:val="22"/>
              </w:rPr>
              <w:t>.</w:t>
            </w:r>
            <w:r w:rsidRPr="00543531">
              <w:rPr>
                <w:rFonts w:eastAsia="Times New Roman" w:cs="Times New Roman"/>
                <w:color w:val="000000"/>
                <w:szCs w:val="22"/>
              </w:rPr>
              <w:t>49</w:t>
            </w:r>
          </w:p>
        </w:tc>
        <w:tc>
          <w:tcPr>
            <w:tcW w:w="672" w:type="pct"/>
            <w:noWrap/>
            <w:vAlign w:val="center"/>
            <w:hideMark/>
          </w:tcPr>
          <w:p w14:paraId="47D35BB2" w14:textId="0C5CF1EA"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5</w:t>
            </w:r>
            <w:r w:rsidR="00AD68C4">
              <w:rPr>
                <w:rFonts w:eastAsia="Times New Roman" w:cs="Times New Roman"/>
                <w:color w:val="000000"/>
                <w:szCs w:val="22"/>
              </w:rPr>
              <w:t>.</w:t>
            </w:r>
            <w:r w:rsidRPr="00543531">
              <w:rPr>
                <w:rFonts w:eastAsia="Times New Roman" w:cs="Times New Roman"/>
                <w:color w:val="000000"/>
                <w:szCs w:val="22"/>
              </w:rPr>
              <w:t>43</w:t>
            </w:r>
          </w:p>
        </w:tc>
      </w:tr>
      <w:tr w:rsidR="00543531" w:rsidRPr="00543531" w14:paraId="45B54463" w14:textId="77777777" w:rsidTr="005711CF">
        <w:trPr>
          <w:trHeight w:val="20"/>
          <w:jc w:val="center"/>
        </w:trPr>
        <w:tc>
          <w:tcPr>
            <w:tcW w:w="459" w:type="pct"/>
            <w:noWrap/>
            <w:vAlign w:val="center"/>
            <w:hideMark/>
          </w:tcPr>
          <w:p w14:paraId="2C055614"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w:t>
            </w:r>
          </w:p>
        </w:tc>
        <w:tc>
          <w:tcPr>
            <w:tcW w:w="1612" w:type="pct"/>
            <w:noWrap/>
            <w:vAlign w:val="center"/>
            <w:hideMark/>
          </w:tcPr>
          <w:p w14:paraId="63C40366" w14:textId="6F7CD426"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szCs w:val="22"/>
              </w:rPr>
              <w:t>S. ovalis</w:t>
            </w:r>
          </w:p>
        </w:tc>
        <w:tc>
          <w:tcPr>
            <w:tcW w:w="752" w:type="pct"/>
            <w:noWrap/>
            <w:vAlign w:val="center"/>
            <w:hideMark/>
          </w:tcPr>
          <w:p w14:paraId="71C33A7E" w14:textId="6855F876"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r w:rsidR="00AD68C4">
              <w:rPr>
                <w:rFonts w:eastAsia="Times New Roman" w:cs="Times New Roman"/>
                <w:color w:val="000000"/>
                <w:szCs w:val="22"/>
              </w:rPr>
              <w:t>.</w:t>
            </w:r>
            <w:r w:rsidRPr="00543531">
              <w:rPr>
                <w:rFonts w:eastAsia="Times New Roman" w:cs="Times New Roman"/>
                <w:color w:val="000000"/>
                <w:szCs w:val="22"/>
              </w:rPr>
              <w:t>77</w:t>
            </w:r>
          </w:p>
        </w:tc>
        <w:tc>
          <w:tcPr>
            <w:tcW w:w="752" w:type="pct"/>
            <w:noWrap/>
            <w:vAlign w:val="center"/>
            <w:hideMark/>
          </w:tcPr>
          <w:p w14:paraId="69A7D6D4" w14:textId="4C75FBDC"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w:t>
            </w:r>
            <w:r w:rsidR="00AD68C4">
              <w:rPr>
                <w:rFonts w:eastAsia="Times New Roman" w:cs="Times New Roman"/>
                <w:color w:val="000000"/>
                <w:szCs w:val="22"/>
              </w:rPr>
              <w:t>.</w:t>
            </w:r>
            <w:r w:rsidRPr="00543531">
              <w:rPr>
                <w:rFonts w:eastAsia="Times New Roman" w:cs="Times New Roman"/>
                <w:color w:val="000000"/>
                <w:szCs w:val="22"/>
              </w:rPr>
              <w:t>17</w:t>
            </w:r>
          </w:p>
        </w:tc>
        <w:tc>
          <w:tcPr>
            <w:tcW w:w="753" w:type="pct"/>
            <w:noWrap/>
            <w:vAlign w:val="center"/>
            <w:hideMark/>
          </w:tcPr>
          <w:p w14:paraId="66E961F3" w14:textId="4463A613"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r w:rsidR="00AD68C4">
              <w:rPr>
                <w:rFonts w:eastAsia="Times New Roman" w:cs="Times New Roman"/>
                <w:color w:val="000000"/>
                <w:szCs w:val="22"/>
              </w:rPr>
              <w:t>.</w:t>
            </w:r>
            <w:r w:rsidRPr="00543531">
              <w:rPr>
                <w:rFonts w:eastAsia="Times New Roman" w:cs="Times New Roman"/>
                <w:color w:val="000000"/>
                <w:szCs w:val="22"/>
              </w:rPr>
              <w:t>37</w:t>
            </w:r>
          </w:p>
        </w:tc>
        <w:tc>
          <w:tcPr>
            <w:tcW w:w="672" w:type="pct"/>
            <w:noWrap/>
            <w:vAlign w:val="center"/>
            <w:hideMark/>
          </w:tcPr>
          <w:p w14:paraId="225F8670" w14:textId="37BF2DF5"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5</w:t>
            </w:r>
            <w:r w:rsidR="00AD68C4">
              <w:rPr>
                <w:rFonts w:eastAsia="Times New Roman" w:cs="Times New Roman"/>
                <w:color w:val="000000"/>
                <w:szCs w:val="22"/>
              </w:rPr>
              <w:t>.</w:t>
            </w:r>
            <w:r w:rsidRPr="00543531">
              <w:rPr>
                <w:rFonts w:eastAsia="Times New Roman" w:cs="Times New Roman"/>
                <w:color w:val="000000"/>
                <w:szCs w:val="22"/>
              </w:rPr>
              <w:t>31</w:t>
            </w:r>
          </w:p>
        </w:tc>
      </w:tr>
      <w:tr w:rsidR="00543531" w:rsidRPr="00543531" w14:paraId="56846DD4" w14:textId="77777777" w:rsidTr="005711CF">
        <w:trPr>
          <w:trHeight w:val="20"/>
          <w:jc w:val="center"/>
        </w:trPr>
        <w:tc>
          <w:tcPr>
            <w:tcW w:w="459" w:type="pct"/>
            <w:noWrap/>
            <w:vAlign w:val="center"/>
            <w:hideMark/>
          </w:tcPr>
          <w:p w14:paraId="560D71AA"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11</w:t>
            </w:r>
          </w:p>
        </w:tc>
        <w:tc>
          <w:tcPr>
            <w:tcW w:w="1612" w:type="pct"/>
            <w:noWrap/>
            <w:vAlign w:val="center"/>
            <w:hideMark/>
          </w:tcPr>
          <w:p w14:paraId="5CCE6F95" w14:textId="22E3A48D"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color w:val="000000"/>
                <w:szCs w:val="22"/>
              </w:rPr>
              <w:t>S. parvifolia</w:t>
            </w:r>
          </w:p>
        </w:tc>
        <w:tc>
          <w:tcPr>
            <w:tcW w:w="752" w:type="pct"/>
            <w:noWrap/>
            <w:vAlign w:val="center"/>
            <w:hideMark/>
          </w:tcPr>
          <w:p w14:paraId="769B8563" w14:textId="69B389AA"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0</w:t>
            </w:r>
            <w:r w:rsidR="00AD68C4">
              <w:rPr>
                <w:rFonts w:eastAsia="Times New Roman" w:cs="Times New Roman"/>
                <w:color w:val="000000"/>
                <w:szCs w:val="22"/>
              </w:rPr>
              <w:t>.</w:t>
            </w:r>
            <w:r w:rsidRPr="00543531">
              <w:rPr>
                <w:rFonts w:eastAsia="Times New Roman" w:cs="Times New Roman"/>
                <w:color w:val="000000"/>
                <w:szCs w:val="22"/>
              </w:rPr>
              <w:t>88</w:t>
            </w:r>
          </w:p>
        </w:tc>
        <w:tc>
          <w:tcPr>
            <w:tcW w:w="752" w:type="pct"/>
            <w:noWrap/>
            <w:vAlign w:val="center"/>
            <w:hideMark/>
          </w:tcPr>
          <w:p w14:paraId="47591423" w14:textId="2DE6001C"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r w:rsidR="00AD68C4">
              <w:rPr>
                <w:rFonts w:eastAsia="Times New Roman" w:cs="Times New Roman"/>
                <w:color w:val="000000"/>
                <w:szCs w:val="22"/>
              </w:rPr>
              <w:t>.</w:t>
            </w:r>
            <w:r w:rsidRPr="00543531">
              <w:rPr>
                <w:rFonts w:eastAsia="Times New Roman" w:cs="Times New Roman"/>
                <w:color w:val="000000"/>
                <w:szCs w:val="22"/>
              </w:rPr>
              <w:t>09</w:t>
            </w:r>
          </w:p>
        </w:tc>
        <w:tc>
          <w:tcPr>
            <w:tcW w:w="753" w:type="pct"/>
            <w:noWrap/>
            <w:vAlign w:val="center"/>
            <w:hideMark/>
          </w:tcPr>
          <w:p w14:paraId="3F664F38" w14:textId="64A68D14"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0</w:t>
            </w:r>
            <w:r w:rsidR="00AD68C4">
              <w:rPr>
                <w:rFonts w:eastAsia="Times New Roman" w:cs="Times New Roman"/>
                <w:color w:val="000000"/>
                <w:szCs w:val="22"/>
              </w:rPr>
              <w:t>.</w:t>
            </w:r>
            <w:r w:rsidRPr="00543531">
              <w:rPr>
                <w:rFonts w:eastAsia="Times New Roman" w:cs="Times New Roman"/>
                <w:color w:val="000000"/>
                <w:szCs w:val="22"/>
              </w:rPr>
              <w:t>41</w:t>
            </w:r>
          </w:p>
        </w:tc>
        <w:tc>
          <w:tcPr>
            <w:tcW w:w="672" w:type="pct"/>
            <w:noWrap/>
            <w:vAlign w:val="center"/>
            <w:hideMark/>
          </w:tcPr>
          <w:p w14:paraId="52F9DC47" w14:textId="51B42E3B"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w:t>
            </w:r>
            <w:r w:rsidR="00AD68C4">
              <w:rPr>
                <w:rFonts w:eastAsia="Times New Roman" w:cs="Times New Roman"/>
                <w:color w:val="000000"/>
                <w:szCs w:val="22"/>
              </w:rPr>
              <w:t>.</w:t>
            </w:r>
            <w:r w:rsidRPr="00543531">
              <w:rPr>
                <w:rFonts w:eastAsia="Times New Roman" w:cs="Times New Roman"/>
                <w:color w:val="000000"/>
                <w:szCs w:val="22"/>
              </w:rPr>
              <w:t>38</w:t>
            </w:r>
          </w:p>
        </w:tc>
      </w:tr>
      <w:tr w:rsidR="00543531" w:rsidRPr="00543531" w14:paraId="7DD3A976" w14:textId="77777777" w:rsidTr="005711CF">
        <w:trPr>
          <w:trHeight w:val="20"/>
          <w:jc w:val="center"/>
        </w:trPr>
        <w:tc>
          <w:tcPr>
            <w:tcW w:w="459" w:type="pct"/>
            <w:noWrap/>
            <w:vAlign w:val="center"/>
            <w:hideMark/>
          </w:tcPr>
          <w:p w14:paraId="31763648"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12</w:t>
            </w:r>
          </w:p>
        </w:tc>
        <w:tc>
          <w:tcPr>
            <w:tcW w:w="1612" w:type="pct"/>
            <w:noWrap/>
            <w:vAlign w:val="center"/>
            <w:hideMark/>
          </w:tcPr>
          <w:p w14:paraId="1F0D40F3" w14:textId="122C7AAF" w:rsidR="00543531" w:rsidRPr="00543531" w:rsidRDefault="00543531" w:rsidP="005711CF">
            <w:pPr>
              <w:jc w:val="center"/>
              <w:rPr>
                <w:rFonts w:eastAsia="Times New Roman" w:cs="Times New Roman"/>
                <w:i/>
                <w:iCs/>
                <w:color w:val="000000"/>
                <w:szCs w:val="22"/>
              </w:rPr>
            </w:pPr>
            <w:r w:rsidRPr="00543531">
              <w:rPr>
                <w:rFonts w:eastAsia="Times New Roman" w:cs="Times New Roman"/>
                <w:i/>
                <w:iCs/>
                <w:color w:val="000000"/>
                <w:szCs w:val="22"/>
              </w:rPr>
              <w:t>S. acuminata</w:t>
            </w:r>
          </w:p>
        </w:tc>
        <w:tc>
          <w:tcPr>
            <w:tcW w:w="752" w:type="pct"/>
            <w:noWrap/>
            <w:vAlign w:val="center"/>
            <w:hideMark/>
          </w:tcPr>
          <w:p w14:paraId="5A81671E" w14:textId="6C9C934D"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0</w:t>
            </w:r>
            <w:r w:rsidR="00AD68C4">
              <w:rPr>
                <w:rFonts w:eastAsia="Times New Roman" w:cs="Times New Roman"/>
                <w:color w:val="000000"/>
                <w:szCs w:val="22"/>
              </w:rPr>
              <w:t>.</w:t>
            </w:r>
            <w:r w:rsidRPr="00543531">
              <w:rPr>
                <w:rFonts w:eastAsia="Times New Roman" w:cs="Times New Roman"/>
                <w:color w:val="000000"/>
                <w:szCs w:val="22"/>
              </w:rPr>
              <w:t>88</w:t>
            </w:r>
          </w:p>
        </w:tc>
        <w:tc>
          <w:tcPr>
            <w:tcW w:w="752" w:type="pct"/>
            <w:noWrap/>
            <w:vAlign w:val="center"/>
            <w:hideMark/>
          </w:tcPr>
          <w:p w14:paraId="315DD69F" w14:textId="4F32458C"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w:t>
            </w:r>
            <w:r w:rsidR="00AD68C4">
              <w:rPr>
                <w:rFonts w:eastAsia="Times New Roman" w:cs="Times New Roman"/>
                <w:color w:val="000000"/>
                <w:szCs w:val="22"/>
              </w:rPr>
              <w:t>.</w:t>
            </w:r>
            <w:r w:rsidRPr="00543531">
              <w:rPr>
                <w:rFonts w:eastAsia="Times New Roman" w:cs="Times New Roman"/>
                <w:color w:val="000000"/>
                <w:szCs w:val="22"/>
              </w:rPr>
              <w:t>09</w:t>
            </w:r>
          </w:p>
        </w:tc>
        <w:tc>
          <w:tcPr>
            <w:tcW w:w="753" w:type="pct"/>
            <w:noWrap/>
            <w:vAlign w:val="center"/>
            <w:hideMark/>
          </w:tcPr>
          <w:p w14:paraId="77FF5ABD" w14:textId="7C226DBE"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0</w:t>
            </w:r>
            <w:r w:rsidR="00AD68C4">
              <w:rPr>
                <w:rFonts w:eastAsia="Times New Roman" w:cs="Times New Roman"/>
                <w:color w:val="000000"/>
                <w:szCs w:val="22"/>
              </w:rPr>
              <w:t>.</w:t>
            </w:r>
            <w:r w:rsidRPr="00543531">
              <w:rPr>
                <w:rFonts w:eastAsia="Times New Roman" w:cs="Times New Roman"/>
                <w:color w:val="000000"/>
                <w:szCs w:val="22"/>
              </w:rPr>
              <w:t>28</w:t>
            </w:r>
          </w:p>
        </w:tc>
        <w:tc>
          <w:tcPr>
            <w:tcW w:w="672" w:type="pct"/>
            <w:noWrap/>
            <w:vAlign w:val="center"/>
            <w:hideMark/>
          </w:tcPr>
          <w:p w14:paraId="1A4901B8" w14:textId="27AFC57C"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2</w:t>
            </w:r>
            <w:r w:rsidR="00AD68C4">
              <w:rPr>
                <w:rFonts w:eastAsia="Times New Roman" w:cs="Times New Roman"/>
                <w:color w:val="000000"/>
                <w:szCs w:val="22"/>
              </w:rPr>
              <w:t>.</w:t>
            </w:r>
            <w:r w:rsidRPr="00543531">
              <w:rPr>
                <w:rFonts w:eastAsia="Times New Roman" w:cs="Times New Roman"/>
                <w:color w:val="000000"/>
                <w:szCs w:val="22"/>
              </w:rPr>
              <w:t>26</w:t>
            </w:r>
          </w:p>
        </w:tc>
      </w:tr>
      <w:tr w:rsidR="00543531" w:rsidRPr="00543531" w14:paraId="51B844D3" w14:textId="77777777" w:rsidTr="005711CF">
        <w:trPr>
          <w:trHeight w:val="20"/>
          <w:jc w:val="center"/>
        </w:trPr>
        <w:tc>
          <w:tcPr>
            <w:tcW w:w="459" w:type="pct"/>
            <w:tcBorders>
              <w:top w:val="single" w:sz="4" w:space="0" w:color="auto"/>
              <w:left w:val="nil"/>
              <w:bottom w:val="single" w:sz="4" w:space="0" w:color="auto"/>
              <w:right w:val="nil"/>
            </w:tcBorders>
            <w:noWrap/>
            <w:vAlign w:val="center"/>
            <w:hideMark/>
          </w:tcPr>
          <w:p w14:paraId="3C1907DB" w14:textId="4F6B4DA9"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Total</w:t>
            </w:r>
          </w:p>
        </w:tc>
        <w:tc>
          <w:tcPr>
            <w:tcW w:w="1612" w:type="pct"/>
            <w:tcBorders>
              <w:top w:val="single" w:sz="4" w:space="0" w:color="auto"/>
              <w:left w:val="nil"/>
              <w:bottom w:val="single" w:sz="4" w:space="0" w:color="auto"/>
              <w:right w:val="nil"/>
            </w:tcBorders>
            <w:noWrap/>
            <w:vAlign w:val="center"/>
            <w:hideMark/>
          </w:tcPr>
          <w:p w14:paraId="274F3D4B" w14:textId="628F2E2D" w:rsidR="00543531" w:rsidRPr="00543531" w:rsidRDefault="00543531" w:rsidP="005711CF">
            <w:pPr>
              <w:jc w:val="center"/>
              <w:rPr>
                <w:rFonts w:eastAsia="Times New Roman" w:cs="Times New Roman"/>
                <w:color w:val="000000"/>
                <w:szCs w:val="22"/>
              </w:rPr>
            </w:pPr>
          </w:p>
        </w:tc>
        <w:tc>
          <w:tcPr>
            <w:tcW w:w="752" w:type="pct"/>
            <w:tcBorders>
              <w:top w:val="single" w:sz="4" w:space="0" w:color="auto"/>
              <w:left w:val="nil"/>
              <w:bottom w:val="single" w:sz="4" w:space="0" w:color="auto"/>
              <w:right w:val="nil"/>
            </w:tcBorders>
            <w:noWrap/>
            <w:vAlign w:val="center"/>
            <w:hideMark/>
          </w:tcPr>
          <w:p w14:paraId="25EF2CD5"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100</w:t>
            </w:r>
          </w:p>
        </w:tc>
        <w:tc>
          <w:tcPr>
            <w:tcW w:w="752" w:type="pct"/>
            <w:tcBorders>
              <w:top w:val="single" w:sz="4" w:space="0" w:color="auto"/>
              <w:left w:val="nil"/>
              <w:bottom w:val="single" w:sz="4" w:space="0" w:color="auto"/>
              <w:right w:val="nil"/>
            </w:tcBorders>
            <w:noWrap/>
            <w:vAlign w:val="center"/>
            <w:hideMark/>
          </w:tcPr>
          <w:p w14:paraId="63979EE6"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100</w:t>
            </w:r>
          </w:p>
        </w:tc>
        <w:tc>
          <w:tcPr>
            <w:tcW w:w="753" w:type="pct"/>
            <w:tcBorders>
              <w:top w:val="single" w:sz="4" w:space="0" w:color="auto"/>
              <w:left w:val="nil"/>
              <w:bottom w:val="single" w:sz="4" w:space="0" w:color="auto"/>
              <w:right w:val="nil"/>
            </w:tcBorders>
            <w:noWrap/>
            <w:vAlign w:val="center"/>
            <w:hideMark/>
          </w:tcPr>
          <w:p w14:paraId="4AB7CE3F"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100</w:t>
            </w:r>
          </w:p>
        </w:tc>
        <w:tc>
          <w:tcPr>
            <w:tcW w:w="672" w:type="pct"/>
            <w:tcBorders>
              <w:top w:val="single" w:sz="4" w:space="0" w:color="auto"/>
              <w:left w:val="nil"/>
              <w:bottom w:val="single" w:sz="4" w:space="0" w:color="auto"/>
              <w:right w:val="nil"/>
            </w:tcBorders>
            <w:noWrap/>
            <w:vAlign w:val="center"/>
            <w:hideMark/>
          </w:tcPr>
          <w:p w14:paraId="087027EC" w14:textId="77777777" w:rsidR="00543531" w:rsidRPr="00543531" w:rsidRDefault="00543531" w:rsidP="005711CF">
            <w:pPr>
              <w:jc w:val="center"/>
              <w:rPr>
                <w:rFonts w:eastAsia="Times New Roman" w:cs="Times New Roman"/>
                <w:color w:val="000000"/>
                <w:szCs w:val="22"/>
              </w:rPr>
            </w:pPr>
            <w:r w:rsidRPr="00543531">
              <w:rPr>
                <w:rFonts w:eastAsia="Times New Roman" w:cs="Times New Roman"/>
                <w:color w:val="000000"/>
                <w:szCs w:val="22"/>
              </w:rPr>
              <w:t>300</w:t>
            </w:r>
          </w:p>
        </w:tc>
      </w:tr>
    </w:tbl>
    <w:p w14:paraId="50A8D1F4" w14:textId="77777777" w:rsidR="00260581" w:rsidRDefault="00260581" w:rsidP="00543531">
      <w:pPr>
        <w:spacing w:after="240"/>
      </w:pPr>
    </w:p>
    <w:p w14:paraId="31B0415C" w14:textId="435FB665"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 xml:space="preserve">Table 5 shows the IVI values at the tree level in the Sungai Harapan Protected Forest. </w:t>
      </w:r>
      <w:r w:rsidRPr="00543531">
        <w:rPr>
          <w:rFonts w:eastAsiaTheme="minorHAnsi"/>
          <w:i/>
          <w:iCs/>
          <w:szCs w:val="22"/>
          <w:lang w:val="en-ID"/>
        </w:rPr>
        <w:t>S. curtisii</w:t>
      </w:r>
      <w:r w:rsidRPr="00543531">
        <w:rPr>
          <w:rFonts w:eastAsiaTheme="minorHAnsi"/>
          <w:szCs w:val="22"/>
          <w:lang w:val="en-ID"/>
        </w:rPr>
        <w:t xml:space="preserve"> had the highest IVI value at 97.06%, followed by </w:t>
      </w:r>
      <w:r w:rsidRPr="00543531">
        <w:rPr>
          <w:rFonts w:eastAsiaTheme="minorHAnsi"/>
          <w:i/>
          <w:iCs/>
          <w:szCs w:val="22"/>
          <w:lang w:val="en-ID"/>
        </w:rPr>
        <w:t>H. beccariana</w:t>
      </w:r>
      <w:r w:rsidRPr="00543531">
        <w:rPr>
          <w:rFonts w:eastAsiaTheme="minorHAnsi"/>
          <w:szCs w:val="22"/>
          <w:lang w:val="en-ID"/>
        </w:rPr>
        <w:t xml:space="preserve"> (48.31%), </w:t>
      </w:r>
      <w:r w:rsidRPr="00543531">
        <w:rPr>
          <w:rFonts w:eastAsiaTheme="minorHAnsi"/>
          <w:i/>
          <w:iCs/>
          <w:szCs w:val="22"/>
          <w:lang w:val="en-ID"/>
        </w:rPr>
        <w:t>D. rigidus</w:t>
      </w:r>
      <w:r w:rsidRPr="00543531">
        <w:rPr>
          <w:rFonts w:eastAsiaTheme="minorHAnsi"/>
          <w:szCs w:val="22"/>
          <w:lang w:val="en-ID"/>
        </w:rPr>
        <w:t xml:space="preserve"> (43.75%), </w:t>
      </w:r>
      <w:r w:rsidRPr="00543531">
        <w:rPr>
          <w:rFonts w:eastAsiaTheme="minorHAnsi"/>
          <w:i/>
          <w:iCs/>
          <w:szCs w:val="22"/>
          <w:lang w:val="en-ID"/>
        </w:rPr>
        <w:t>V. pauciflora</w:t>
      </w:r>
      <w:r w:rsidRPr="00543531">
        <w:rPr>
          <w:rFonts w:eastAsiaTheme="minorHAnsi"/>
          <w:szCs w:val="22"/>
          <w:lang w:val="en-ID"/>
        </w:rPr>
        <w:t xml:space="preserve"> (23.76%), and </w:t>
      </w:r>
      <w:r w:rsidRPr="00543531">
        <w:rPr>
          <w:rFonts w:eastAsiaTheme="minorHAnsi"/>
          <w:i/>
          <w:iCs/>
          <w:szCs w:val="22"/>
          <w:lang w:val="en-ID"/>
        </w:rPr>
        <w:t>V. cuspidata</w:t>
      </w:r>
      <w:r w:rsidRPr="00543531">
        <w:rPr>
          <w:rFonts w:eastAsiaTheme="minorHAnsi"/>
          <w:szCs w:val="22"/>
          <w:lang w:val="en-ID"/>
        </w:rPr>
        <w:t xml:space="preserve"> (21.59%). The species identified at the tree stage in the Sungai Harapan Protected Forest are native Dipterocarpaceae species of Batam. The species with the lowest IVI value was Shorea, with an IVI of 2.26%, and it was found only in one observation plot with a diameter of 26 cm. A tree is considered healthy or in normal condition when it </w:t>
      </w:r>
      <w:r w:rsidR="005711CF">
        <w:rPr>
          <w:rFonts w:eastAsiaTheme="minorHAnsi"/>
          <w:szCs w:val="22"/>
          <w:lang w:val="en-ID"/>
        </w:rPr>
        <w:t>can</w:t>
      </w:r>
      <w:r w:rsidRPr="00543531">
        <w:rPr>
          <w:rFonts w:eastAsiaTheme="minorHAnsi"/>
          <w:szCs w:val="22"/>
          <w:lang w:val="en-ID"/>
        </w:rPr>
        <w:t xml:space="preserve"> perform its physiological functions optimally. Conversely, a tree is considered unhealthy when it exhibits structural damage, either affecting the entire tree or specific parts of its structure [32].</w:t>
      </w:r>
    </w:p>
    <w:p w14:paraId="088A30B5" w14:textId="73ADD6CB" w:rsidR="00543531" w:rsidRPr="00543531" w:rsidRDefault="00543531" w:rsidP="00543531">
      <w:pPr>
        <w:pStyle w:val="Els-body-text"/>
        <w:spacing w:after="240"/>
        <w:rPr>
          <w:rFonts w:eastAsiaTheme="minorHAnsi"/>
          <w:szCs w:val="22"/>
          <w:lang w:val="en-ID"/>
        </w:rPr>
      </w:pPr>
      <w:r w:rsidRPr="00543531">
        <w:rPr>
          <w:rFonts w:eastAsiaTheme="minorHAnsi"/>
          <w:i/>
          <w:iCs/>
          <w:szCs w:val="22"/>
          <w:lang w:val="en-ID"/>
        </w:rPr>
        <w:t>S. curtisii</w:t>
      </w:r>
      <w:r w:rsidRPr="00543531">
        <w:rPr>
          <w:rFonts w:eastAsiaTheme="minorHAnsi"/>
          <w:szCs w:val="22"/>
          <w:lang w:val="en-ID"/>
        </w:rPr>
        <w:t xml:space="preserve"> was considered a key species in the dynamics of hilly Dipterocarpaceae forests. The sampling plots, </w:t>
      </w:r>
      <w:r w:rsidR="005711CF">
        <w:rPr>
          <w:rFonts w:eastAsiaTheme="minorHAnsi"/>
          <w:szCs w:val="22"/>
          <w:lang w:val="en-ID"/>
        </w:rPr>
        <w:t xml:space="preserve">predominantly located in hilly areas, confirmed the dominance of S. </w:t>
      </w:r>
      <w:r w:rsidRPr="00543531">
        <w:rPr>
          <w:rFonts w:eastAsiaTheme="minorHAnsi"/>
          <w:szCs w:val="22"/>
          <w:lang w:val="en-ID"/>
        </w:rPr>
        <w:t xml:space="preserve">curtisii at the tree stage in these upland regions. </w:t>
      </w:r>
      <w:r w:rsidRPr="00543531">
        <w:rPr>
          <w:rFonts w:eastAsiaTheme="minorHAnsi"/>
          <w:i/>
          <w:iCs/>
          <w:szCs w:val="22"/>
          <w:lang w:val="en-ID"/>
        </w:rPr>
        <w:t>S. curtisii</w:t>
      </w:r>
      <w:r w:rsidRPr="00543531">
        <w:rPr>
          <w:rFonts w:eastAsiaTheme="minorHAnsi"/>
          <w:szCs w:val="22"/>
          <w:lang w:val="en-ID"/>
        </w:rPr>
        <w:t xml:space="preserve"> had the highest IVI value of 138.01% at elevations ranging from 60–115 meters above sea level [33].</w:t>
      </w:r>
      <w:r w:rsidR="00AF3D5D">
        <w:rPr>
          <w:rFonts w:eastAsiaTheme="minorHAnsi"/>
          <w:szCs w:val="22"/>
          <w:lang w:val="en-ID"/>
        </w:rPr>
        <w:t xml:space="preserve"> </w:t>
      </w:r>
      <w:r w:rsidRPr="00543531">
        <w:rPr>
          <w:rFonts w:eastAsiaTheme="minorHAnsi"/>
          <w:szCs w:val="22"/>
          <w:lang w:val="en-ID"/>
        </w:rPr>
        <w:t xml:space="preserve">A study conducted in the Sungai Harapan Protected Forest, Batam, found different dominant species at the tree stage, namely D.rigidus with an IVI of 67.22%, followed by </w:t>
      </w:r>
      <w:r w:rsidRPr="00543531">
        <w:rPr>
          <w:rFonts w:eastAsiaTheme="minorHAnsi"/>
          <w:i/>
          <w:iCs/>
          <w:szCs w:val="22"/>
          <w:lang w:val="en-ID"/>
        </w:rPr>
        <w:t>Sloetia elongata</w:t>
      </w:r>
      <w:r>
        <w:rPr>
          <w:rFonts w:eastAsiaTheme="minorHAnsi"/>
          <w:szCs w:val="22"/>
          <w:lang w:val="en-ID"/>
        </w:rPr>
        <w:t xml:space="preserve"> </w:t>
      </w:r>
      <w:r w:rsidRPr="00543531">
        <w:rPr>
          <w:rFonts w:eastAsiaTheme="minorHAnsi"/>
          <w:szCs w:val="22"/>
          <w:lang w:val="en-ID"/>
        </w:rPr>
        <w:t xml:space="preserve">(35.34%) and </w:t>
      </w:r>
      <w:r w:rsidRPr="00543531">
        <w:rPr>
          <w:rFonts w:eastAsiaTheme="minorHAnsi"/>
          <w:i/>
          <w:iCs/>
          <w:szCs w:val="22"/>
          <w:lang w:val="en-ID"/>
        </w:rPr>
        <w:t>S. curtisii</w:t>
      </w:r>
      <w:r w:rsidRPr="00543531">
        <w:rPr>
          <w:rFonts w:eastAsiaTheme="minorHAnsi"/>
          <w:szCs w:val="22"/>
          <w:lang w:val="en-ID"/>
        </w:rPr>
        <w:t xml:space="preserve"> (14.17%) [16].</w:t>
      </w:r>
    </w:p>
    <w:p w14:paraId="6CD1B477" w14:textId="666EEED7" w:rsidR="00543531" w:rsidRPr="00543531" w:rsidRDefault="00543531" w:rsidP="00543531">
      <w:pPr>
        <w:pStyle w:val="Els-2ndorder-head"/>
        <w:spacing w:after="0"/>
      </w:pPr>
      <w:r w:rsidRPr="00543531">
        <w:t>Shannon–Wiener Diversity Index</w:t>
      </w:r>
    </w:p>
    <w:p w14:paraId="1390D614" w14:textId="48CDA085"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Based on the calculation results of the Shannon–Wiener Diversity Index for the Dipterocarpaceae family in the Sungai Harapan Protected Forest Special Block, the values are presented in Table 6.</w:t>
      </w:r>
    </w:p>
    <w:p w14:paraId="3AB5B82E" w14:textId="367185F2" w:rsidR="00260581" w:rsidRDefault="00543531" w:rsidP="00543531">
      <w:pPr>
        <w:jc w:val="center"/>
      </w:pPr>
      <w:r w:rsidRPr="00543531">
        <w:t>Table 6. Shannon–Wiener Diversity Index.</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78"/>
        <w:gridCol w:w="1935"/>
        <w:gridCol w:w="1930"/>
        <w:gridCol w:w="1258"/>
      </w:tblGrid>
      <w:tr w:rsidR="00543531" w:rsidRPr="00543531" w14:paraId="6EC2C1AC" w14:textId="77777777" w:rsidTr="005711CF">
        <w:trPr>
          <w:trHeight w:val="150"/>
          <w:jc w:val="center"/>
        </w:trPr>
        <w:tc>
          <w:tcPr>
            <w:tcW w:w="578" w:type="dxa"/>
            <w:tcBorders>
              <w:top w:val="single" w:sz="4" w:space="0" w:color="auto"/>
              <w:left w:val="nil"/>
              <w:bottom w:val="single" w:sz="4" w:space="0" w:color="auto"/>
              <w:right w:val="nil"/>
            </w:tcBorders>
            <w:vAlign w:val="center"/>
            <w:hideMark/>
          </w:tcPr>
          <w:p w14:paraId="242E3A49"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No</w:t>
            </w:r>
          </w:p>
        </w:tc>
        <w:tc>
          <w:tcPr>
            <w:tcW w:w="1935" w:type="dxa"/>
            <w:tcBorders>
              <w:top w:val="single" w:sz="4" w:space="0" w:color="auto"/>
              <w:left w:val="nil"/>
              <w:bottom w:val="single" w:sz="4" w:space="0" w:color="auto"/>
              <w:right w:val="nil"/>
            </w:tcBorders>
            <w:vAlign w:val="center"/>
            <w:hideMark/>
          </w:tcPr>
          <w:p w14:paraId="1C7ED398"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szCs w:val="22"/>
              </w:rPr>
              <w:t>Growth Stage</w:t>
            </w:r>
          </w:p>
        </w:tc>
        <w:tc>
          <w:tcPr>
            <w:tcW w:w="1930" w:type="dxa"/>
            <w:tcBorders>
              <w:top w:val="single" w:sz="4" w:space="0" w:color="auto"/>
              <w:left w:val="nil"/>
              <w:bottom w:val="single" w:sz="4" w:space="0" w:color="auto"/>
              <w:right w:val="nil"/>
            </w:tcBorders>
            <w:vAlign w:val="center"/>
            <w:hideMark/>
          </w:tcPr>
          <w:p w14:paraId="4888363A"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szCs w:val="22"/>
              </w:rPr>
              <w:t>Diversity Index</w:t>
            </w:r>
          </w:p>
        </w:tc>
        <w:tc>
          <w:tcPr>
            <w:tcW w:w="1258" w:type="dxa"/>
            <w:tcBorders>
              <w:top w:val="single" w:sz="4" w:space="0" w:color="auto"/>
              <w:left w:val="nil"/>
              <w:bottom w:val="single" w:sz="4" w:space="0" w:color="auto"/>
              <w:right w:val="nil"/>
            </w:tcBorders>
            <w:vAlign w:val="center"/>
            <w:hideMark/>
          </w:tcPr>
          <w:p w14:paraId="2C9517E7"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szCs w:val="22"/>
              </w:rPr>
              <w:t>Category</w:t>
            </w:r>
          </w:p>
        </w:tc>
      </w:tr>
      <w:tr w:rsidR="00543531" w:rsidRPr="00543531" w14:paraId="07E65417" w14:textId="77777777" w:rsidTr="005711CF">
        <w:trPr>
          <w:trHeight w:val="82"/>
          <w:jc w:val="center"/>
        </w:trPr>
        <w:tc>
          <w:tcPr>
            <w:tcW w:w="578" w:type="dxa"/>
            <w:tcBorders>
              <w:top w:val="single" w:sz="4" w:space="0" w:color="auto"/>
              <w:left w:val="nil"/>
              <w:bottom w:val="nil"/>
              <w:right w:val="nil"/>
            </w:tcBorders>
            <w:vAlign w:val="center"/>
            <w:hideMark/>
          </w:tcPr>
          <w:p w14:paraId="408CCBA3"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1</w:t>
            </w:r>
          </w:p>
        </w:tc>
        <w:tc>
          <w:tcPr>
            <w:tcW w:w="1935" w:type="dxa"/>
            <w:tcBorders>
              <w:top w:val="single" w:sz="4" w:space="0" w:color="auto"/>
              <w:left w:val="nil"/>
              <w:bottom w:val="nil"/>
              <w:right w:val="nil"/>
            </w:tcBorders>
            <w:vAlign w:val="center"/>
            <w:hideMark/>
          </w:tcPr>
          <w:p w14:paraId="746CF245"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Seedling</w:t>
            </w:r>
          </w:p>
        </w:tc>
        <w:tc>
          <w:tcPr>
            <w:tcW w:w="1930" w:type="dxa"/>
            <w:tcBorders>
              <w:top w:val="single" w:sz="4" w:space="0" w:color="auto"/>
              <w:left w:val="nil"/>
              <w:bottom w:val="nil"/>
              <w:right w:val="nil"/>
            </w:tcBorders>
            <w:vAlign w:val="center"/>
            <w:hideMark/>
          </w:tcPr>
          <w:p w14:paraId="12973AE7"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1.81</w:t>
            </w:r>
          </w:p>
        </w:tc>
        <w:tc>
          <w:tcPr>
            <w:tcW w:w="1258" w:type="dxa"/>
            <w:tcBorders>
              <w:top w:val="single" w:sz="4" w:space="0" w:color="auto"/>
              <w:left w:val="nil"/>
              <w:bottom w:val="nil"/>
              <w:right w:val="nil"/>
            </w:tcBorders>
            <w:vAlign w:val="center"/>
            <w:hideMark/>
          </w:tcPr>
          <w:p w14:paraId="4EBB70E1" w14:textId="6F161EA2"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Moderate</w:t>
            </w:r>
          </w:p>
        </w:tc>
      </w:tr>
      <w:tr w:rsidR="00543531" w:rsidRPr="00543531" w14:paraId="46F1E8E9" w14:textId="77777777" w:rsidTr="005711CF">
        <w:trPr>
          <w:trHeight w:val="187"/>
          <w:jc w:val="center"/>
        </w:trPr>
        <w:tc>
          <w:tcPr>
            <w:tcW w:w="578" w:type="dxa"/>
            <w:tcBorders>
              <w:top w:val="nil"/>
              <w:left w:val="nil"/>
              <w:bottom w:val="nil"/>
              <w:right w:val="nil"/>
            </w:tcBorders>
            <w:vAlign w:val="center"/>
            <w:hideMark/>
          </w:tcPr>
          <w:p w14:paraId="2A349C7F"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2</w:t>
            </w:r>
          </w:p>
        </w:tc>
        <w:tc>
          <w:tcPr>
            <w:tcW w:w="1935" w:type="dxa"/>
            <w:tcBorders>
              <w:top w:val="nil"/>
              <w:left w:val="nil"/>
              <w:bottom w:val="nil"/>
              <w:right w:val="nil"/>
            </w:tcBorders>
            <w:vAlign w:val="center"/>
            <w:hideMark/>
          </w:tcPr>
          <w:p w14:paraId="3F647912"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Sapling</w:t>
            </w:r>
          </w:p>
        </w:tc>
        <w:tc>
          <w:tcPr>
            <w:tcW w:w="1930" w:type="dxa"/>
            <w:tcBorders>
              <w:top w:val="nil"/>
              <w:left w:val="nil"/>
              <w:bottom w:val="nil"/>
              <w:right w:val="nil"/>
            </w:tcBorders>
            <w:vAlign w:val="center"/>
            <w:hideMark/>
          </w:tcPr>
          <w:p w14:paraId="0C858594"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2.00</w:t>
            </w:r>
          </w:p>
        </w:tc>
        <w:tc>
          <w:tcPr>
            <w:tcW w:w="1258" w:type="dxa"/>
            <w:tcBorders>
              <w:top w:val="nil"/>
              <w:left w:val="nil"/>
              <w:bottom w:val="nil"/>
              <w:right w:val="nil"/>
            </w:tcBorders>
            <w:vAlign w:val="center"/>
            <w:hideMark/>
          </w:tcPr>
          <w:p w14:paraId="796230AA"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Moderate</w:t>
            </w:r>
          </w:p>
        </w:tc>
      </w:tr>
      <w:tr w:rsidR="00543531" w:rsidRPr="00543531" w14:paraId="3F62444C" w14:textId="77777777" w:rsidTr="005711CF">
        <w:trPr>
          <w:trHeight w:val="106"/>
          <w:jc w:val="center"/>
        </w:trPr>
        <w:tc>
          <w:tcPr>
            <w:tcW w:w="578" w:type="dxa"/>
            <w:tcBorders>
              <w:top w:val="nil"/>
              <w:left w:val="nil"/>
              <w:bottom w:val="nil"/>
              <w:right w:val="nil"/>
            </w:tcBorders>
            <w:vAlign w:val="center"/>
            <w:hideMark/>
          </w:tcPr>
          <w:p w14:paraId="498115ED"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3</w:t>
            </w:r>
          </w:p>
        </w:tc>
        <w:tc>
          <w:tcPr>
            <w:tcW w:w="1935" w:type="dxa"/>
            <w:tcBorders>
              <w:top w:val="nil"/>
              <w:left w:val="nil"/>
              <w:bottom w:val="nil"/>
              <w:right w:val="nil"/>
            </w:tcBorders>
            <w:vAlign w:val="center"/>
            <w:hideMark/>
          </w:tcPr>
          <w:p w14:paraId="7832F26C"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Pole</w:t>
            </w:r>
          </w:p>
        </w:tc>
        <w:tc>
          <w:tcPr>
            <w:tcW w:w="1930" w:type="dxa"/>
            <w:tcBorders>
              <w:top w:val="nil"/>
              <w:left w:val="nil"/>
              <w:bottom w:val="nil"/>
              <w:right w:val="nil"/>
            </w:tcBorders>
            <w:vAlign w:val="center"/>
            <w:hideMark/>
          </w:tcPr>
          <w:p w14:paraId="558B0475"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1.90</w:t>
            </w:r>
          </w:p>
        </w:tc>
        <w:tc>
          <w:tcPr>
            <w:tcW w:w="1258" w:type="dxa"/>
            <w:tcBorders>
              <w:top w:val="nil"/>
              <w:left w:val="nil"/>
              <w:bottom w:val="nil"/>
              <w:right w:val="nil"/>
            </w:tcBorders>
            <w:vAlign w:val="center"/>
            <w:hideMark/>
          </w:tcPr>
          <w:p w14:paraId="5136D3A5"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Moderate</w:t>
            </w:r>
          </w:p>
        </w:tc>
      </w:tr>
      <w:tr w:rsidR="00543531" w:rsidRPr="00543531" w14:paraId="55227147" w14:textId="77777777" w:rsidTr="005711CF">
        <w:trPr>
          <w:trHeight w:val="172"/>
          <w:jc w:val="center"/>
        </w:trPr>
        <w:tc>
          <w:tcPr>
            <w:tcW w:w="578" w:type="dxa"/>
            <w:tcBorders>
              <w:top w:val="nil"/>
              <w:left w:val="nil"/>
              <w:bottom w:val="single" w:sz="4" w:space="0" w:color="auto"/>
              <w:right w:val="nil"/>
            </w:tcBorders>
            <w:vAlign w:val="center"/>
            <w:hideMark/>
          </w:tcPr>
          <w:p w14:paraId="37E2EBE8"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4</w:t>
            </w:r>
          </w:p>
        </w:tc>
        <w:tc>
          <w:tcPr>
            <w:tcW w:w="1935" w:type="dxa"/>
            <w:tcBorders>
              <w:top w:val="nil"/>
              <w:left w:val="nil"/>
              <w:bottom w:val="single" w:sz="4" w:space="0" w:color="auto"/>
              <w:right w:val="nil"/>
            </w:tcBorders>
            <w:vAlign w:val="center"/>
            <w:hideMark/>
          </w:tcPr>
          <w:p w14:paraId="1780E406"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Tree</w:t>
            </w:r>
          </w:p>
        </w:tc>
        <w:tc>
          <w:tcPr>
            <w:tcW w:w="1930" w:type="dxa"/>
            <w:tcBorders>
              <w:top w:val="nil"/>
              <w:left w:val="nil"/>
              <w:bottom w:val="single" w:sz="4" w:space="0" w:color="auto"/>
              <w:right w:val="nil"/>
            </w:tcBorders>
            <w:vAlign w:val="center"/>
            <w:hideMark/>
          </w:tcPr>
          <w:p w14:paraId="46B86B42" w14:textId="77777777"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2.05</w:t>
            </w:r>
          </w:p>
        </w:tc>
        <w:tc>
          <w:tcPr>
            <w:tcW w:w="1258" w:type="dxa"/>
            <w:tcBorders>
              <w:top w:val="nil"/>
              <w:left w:val="nil"/>
              <w:bottom w:val="single" w:sz="4" w:space="0" w:color="auto"/>
              <w:right w:val="nil"/>
            </w:tcBorders>
            <w:vAlign w:val="center"/>
            <w:hideMark/>
          </w:tcPr>
          <w:p w14:paraId="2BF79BD8" w14:textId="3EA2147A" w:rsidR="00543531" w:rsidRPr="00543531" w:rsidRDefault="00543531" w:rsidP="005711CF">
            <w:pPr>
              <w:jc w:val="center"/>
              <w:rPr>
                <w:rFonts w:asciiTheme="majorBidi" w:hAnsiTheme="majorBidi" w:cstheme="majorBidi"/>
                <w:bCs/>
                <w:color w:val="000000"/>
                <w:szCs w:val="22"/>
              </w:rPr>
            </w:pPr>
            <w:r w:rsidRPr="00543531">
              <w:rPr>
                <w:rFonts w:asciiTheme="majorBidi" w:hAnsiTheme="majorBidi" w:cstheme="majorBidi"/>
                <w:bCs/>
                <w:color w:val="000000"/>
                <w:szCs w:val="22"/>
              </w:rPr>
              <w:t>Moderate</w:t>
            </w:r>
          </w:p>
        </w:tc>
      </w:tr>
    </w:tbl>
    <w:p w14:paraId="67B9FFE5" w14:textId="77777777" w:rsidR="00260581" w:rsidRDefault="00260581" w:rsidP="00543531">
      <w:pPr>
        <w:spacing w:after="240"/>
      </w:pPr>
    </w:p>
    <w:p w14:paraId="0C6BB66B" w14:textId="4194B468"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 xml:space="preserve">The dominant structure and composition of the Sungai Harapan Protected Forest Special Block varied across growth stages. At the tree stage, there were 113 individuals from 12 species, dominated by </w:t>
      </w:r>
      <w:r w:rsidRPr="00543531">
        <w:rPr>
          <w:rFonts w:eastAsiaTheme="minorHAnsi"/>
          <w:i/>
          <w:iCs/>
          <w:szCs w:val="22"/>
          <w:lang w:val="en-ID"/>
        </w:rPr>
        <w:t xml:space="preserve">S.curtisii, H. beccariana, D. rigidus, V. pauciflora, </w:t>
      </w:r>
      <w:r w:rsidRPr="00543531">
        <w:rPr>
          <w:rFonts w:eastAsiaTheme="minorHAnsi"/>
          <w:szCs w:val="22"/>
          <w:lang w:val="en-ID"/>
        </w:rPr>
        <w:t>and</w:t>
      </w:r>
      <w:r w:rsidRPr="00543531">
        <w:rPr>
          <w:rFonts w:eastAsiaTheme="minorHAnsi"/>
          <w:i/>
          <w:iCs/>
          <w:szCs w:val="22"/>
          <w:lang w:val="en-ID"/>
        </w:rPr>
        <w:t xml:space="preserve"> V. cuspidata</w:t>
      </w:r>
      <w:r w:rsidRPr="00543531">
        <w:rPr>
          <w:rFonts w:eastAsiaTheme="minorHAnsi"/>
          <w:szCs w:val="22"/>
          <w:lang w:val="en-ID"/>
        </w:rPr>
        <w:t xml:space="preserve">. At the pole stage, 77 individuals from 9 species were recorded, dominated by </w:t>
      </w:r>
      <w:r w:rsidRPr="00200D00">
        <w:rPr>
          <w:rFonts w:eastAsiaTheme="minorHAnsi"/>
          <w:i/>
          <w:iCs/>
          <w:szCs w:val="22"/>
          <w:lang w:val="en-ID"/>
        </w:rPr>
        <w:t xml:space="preserve">S. curtisii, H. beccariana, D. rigidus, V. pauciflora, </w:t>
      </w:r>
      <w:r w:rsidRPr="00200D00">
        <w:rPr>
          <w:rFonts w:eastAsiaTheme="minorHAnsi"/>
          <w:szCs w:val="22"/>
          <w:lang w:val="en-ID"/>
        </w:rPr>
        <w:t>and</w:t>
      </w:r>
      <w:r w:rsidRPr="00200D00">
        <w:rPr>
          <w:rFonts w:eastAsiaTheme="minorHAnsi"/>
          <w:i/>
          <w:iCs/>
          <w:szCs w:val="22"/>
          <w:lang w:val="en-ID"/>
        </w:rPr>
        <w:t xml:space="preserve"> H. mengarawan</w:t>
      </w:r>
      <w:r w:rsidRPr="00543531">
        <w:rPr>
          <w:rFonts w:eastAsiaTheme="minorHAnsi"/>
          <w:szCs w:val="22"/>
          <w:lang w:val="en-ID"/>
        </w:rPr>
        <w:t xml:space="preserve">. At the sapling stage, </w:t>
      </w:r>
      <w:r w:rsidR="005711CF">
        <w:rPr>
          <w:rFonts w:eastAsiaTheme="minorHAnsi"/>
          <w:szCs w:val="22"/>
          <w:lang w:val="en-ID"/>
        </w:rPr>
        <w:t>172 individuals from 15 species were recorded,</w:t>
      </w:r>
      <w:r w:rsidRPr="00543531">
        <w:rPr>
          <w:rFonts w:eastAsiaTheme="minorHAnsi"/>
          <w:szCs w:val="22"/>
          <w:lang w:val="en-ID"/>
        </w:rPr>
        <w:t xml:space="preserve"> dominated by </w:t>
      </w:r>
      <w:r w:rsidRPr="00200D00">
        <w:rPr>
          <w:rFonts w:eastAsiaTheme="minorHAnsi"/>
          <w:i/>
          <w:iCs/>
          <w:szCs w:val="22"/>
          <w:lang w:val="en-ID"/>
        </w:rPr>
        <w:t xml:space="preserve">H. beccariana, S. curtisii, V. pauciflora, H. mengarawan, </w:t>
      </w:r>
      <w:r w:rsidRPr="00200D00">
        <w:rPr>
          <w:rFonts w:eastAsiaTheme="minorHAnsi"/>
          <w:szCs w:val="22"/>
          <w:lang w:val="en-ID"/>
        </w:rPr>
        <w:t>and</w:t>
      </w:r>
      <w:r w:rsidRPr="00200D00">
        <w:rPr>
          <w:rFonts w:eastAsiaTheme="minorHAnsi"/>
          <w:i/>
          <w:iCs/>
          <w:szCs w:val="22"/>
          <w:lang w:val="en-ID"/>
        </w:rPr>
        <w:t xml:space="preserve"> D. rigidus</w:t>
      </w:r>
      <w:r w:rsidRPr="00543531">
        <w:rPr>
          <w:rFonts w:eastAsiaTheme="minorHAnsi"/>
          <w:szCs w:val="22"/>
          <w:lang w:val="en-ID"/>
        </w:rPr>
        <w:t xml:space="preserve">. Meanwhile, at the seedling stage, 228 individuals from 14 species were recorded, dominated by </w:t>
      </w:r>
      <w:r w:rsidRPr="00200D00">
        <w:rPr>
          <w:rFonts w:eastAsiaTheme="minorHAnsi"/>
          <w:i/>
          <w:iCs/>
          <w:szCs w:val="22"/>
          <w:lang w:val="en-ID"/>
        </w:rPr>
        <w:t xml:space="preserve">H beccariana, V pauciflora, D. rigidus, S. curtisii, </w:t>
      </w:r>
      <w:r w:rsidRPr="00200D00">
        <w:rPr>
          <w:rFonts w:eastAsiaTheme="minorHAnsi"/>
          <w:szCs w:val="22"/>
          <w:lang w:val="en-ID"/>
        </w:rPr>
        <w:t>and</w:t>
      </w:r>
      <w:r w:rsidRPr="00200D00">
        <w:rPr>
          <w:rFonts w:eastAsiaTheme="minorHAnsi"/>
          <w:i/>
          <w:iCs/>
          <w:szCs w:val="22"/>
          <w:lang w:val="en-ID"/>
        </w:rPr>
        <w:t xml:space="preserve"> V. cuspidata</w:t>
      </w:r>
      <w:r w:rsidRPr="00543531">
        <w:rPr>
          <w:rFonts w:eastAsiaTheme="minorHAnsi"/>
          <w:szCs w:val="22"/>
          <w:lang w:val="en-ID"/>
        </w:rPr>
        <w:t>.</w:t>
      </w:r>
    </w:p>
    <w:p w14:paraId="1B41D4CE" w14:textId="00D9D80C"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The biodiversity index values at the seedling, sapling, pole, and tree stages were 1.83, 2.03, 1.90, and 2.05, respectively. All Dipterocarpaceae growth structures in the Sungai Harapan Protected Forest Special Block Batam were classified as having moderate diversity levels. Overall, all structural levels showed relatively similar values. This similarity indicates a relatively stable diversity condition within the Sungai Harapan Protected Forest Special Block.</w:t>
      </w:r>
    </w:p>
    <w:p w14:paraId="478DA393" w14:textId="2A787B7E"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lastRenderedPageBreak/>
        <w:t>The Dipterocarpaceae biodiversity index in the Sungai Harapan Protected Forest can be considered high</w:t>
      </w:r>
      <w:r w:rsidR="005711CF">
        <w:rPr>
          <w:rFonts w:eastAsiaTheme="minorHAnsi"/>
          <w:szCs w:val="22"/>
          <w:lang w:val="en-ID"/>
        </w:rPr>
        <w:t>, as the tree-stage value of 2.05 was obtained from</w:t>
      </w:r>
      <w:r w:rsidRPr="00543531">
        <w:rPr>
          <w:rFonts w:eastAsiaTheme="minorHAnsi"/>
          <w:szCs w:val="22"/>
          <w:lang w:val="en-ID"/>
        </w:rPr>
        <w:t xml:space="preserve"> a single family distributed from riverbanks to hilly areas. If vegetation analysis were conducted across all plant families, it is possible that the biodiversity index of the Sungai Harapan Protected Forest would exceed 2.05. A study in Taman Negara</w:t>
      </w:r>
      <w:r w:rsidR="005711CF">
        <w:rPr>
          <w:rFonts w:eastAsiaTheme="minorHAnsi"/>
          <w:szCs w:val="22"/>
          <w:lang w:val="en-ID"/>
        </w:rPr>
        <w:t>, Pahang, measured biodiversity in lowland Dipterocarpaceae forests and identified 43 families and 104 genera, yielding a biodiversity index</w:t>
      </w:r>
      <w:r w:rsidRPr="00543531">
        <w:rPr>
          <w:rFonts w:eastAsiaTheme="minorHAnsi"/>
          <w:szCs w:val="22"/>
          <w:lang w:val="en-ID"/>
        </w:rPr>
        <w:t xml:space="preserve"> of 4.84, which was categorized as high [34].</w:t>
      </w:r>
    </w:p>
    <w:p w14:paraId="1FC915D9" w14:textId="6B2657F4"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 xml:space="preserve">One of the most dominant tree species identified was </w:t>
      </w:r>
      <w:r w:rsidRPr="00E67901">
        <w:rPr>
          <w:rFonts w:eastAsiaTheme="minorHAnsi"/>
          <w:i/>
          <w:iCs/>
          <w:szCs w:val="22"/>
          <w:lang w:val="en-ID"/>
        </w:rPr>
        <w:t xml:space="preserve">S. curtisii </w:t>
      </w:r>
      <w:r w:rsidRPr="00E67901">
        <w:rPr>
          <w:rFonts w:eastAsiaTheme="minorHAnsi"/>
          <w:szCs w:val="22"/>
          <w:lang w:val="en-ID"/>
        </w:rPr>
        <w:t>and</w:t>
      </w:r>
      <w:r w:rsidRPr="00E67901">
        <w:rPr>
          <w:rFonts w:eastAsiaTheme="minorHAnsi"/>
          <w:i/>
          <w:iCs/>
          <w:szCs w:val="22"/>
          <w:lang w:val="en-ID"/>
        </w:rPr>
        <w:t xml:space="preserve"> H. beccariana</w:t>
      </w:r>
      <w:r w:rsidRPr="00543531">
        <w:rPr>
          <w:rFonts w:eastAsiaTheme="minorHAnsi"/>
          <w:szCs w:val="22"/>
          <w:lang w:val="en-ID"/>
        </w:rPr>
        <w:t xml:space="preserve">, which were commonly found in hilly areas. </w:t>
      </w:r>
      <w:r w:rsidRPr="00E67901">
        <w:rPr>
          <w:rFonts w:eastAsiaTheme="minorHAnsi"/>
          <w:i/>
          <w:iCs/>
          <w:szCs w:val="22"/>
          <w:lang w:val="en-ID"/>
        </w:rPr>
        <w:t>V. pauciflora</w:t>
      </w:r>
      <w:r w:rsidRPr="00543531">
        <w:rPr>
          <w:rFonts w:eastAsiaTheme="minorHAnsi"/>
          <w:szCs w:val="22"/>
          <w:lang w:val="en-ID"/>
        </w:rPr>
        <w:t xml:space="preserve"> and a small number of </w:t>
      </w:r>
      <w:r w:rsidRPr="00E67901">
        <w:rPr>
          <w:rFonts w:eastAsiaTheme="minorHAnsi"/>
          <w:i/>
          <w:iCs/>
          <w:szCs w:val="22"/>
          <w:lang w:val="en-ID"/>
        </w:rPr>
        <w:t>H. mengarawan</w:t>
      </w:r>
      <w:r w:rsidRPr="00543531">
        <w:rPr>
          <w:rFonts w:eastAsiaTheme="minorHAnsi"/>
          <w:szCs w:val="22"/>
          <w:lang w:val="en-ID"/>
        </w:rPr>
        <w:t xml:space="preserve"> were frequently encountered along riverbanks and watercourses. In one observation plot located near the river</w:t>
      </w:r>
      <w:r w:rsidRPr="00E67901">
        <w:rPr>
          <w:rFonts w:eastAsiaTheme="minorHAnsi"/>
          <w:i/>
          <w:iCs/>
          <w:szCs w:val="22"/>
          <w:lang w:val="en-ID"/>
        </w:rPr>
        <w:t>, D. elongatus</w:t>
      </w:r>
      <w:r w:rsidRPr="00543531">
        <w:rPr>
          <w:rFonts w:eastAsiaTheme="minorHAnsi"/>
          <w:szCs w:val="22"/>
          <w:lang w:val="en-ID"/>
        </w:rPr>
        <w:t xml:space="preserve"> was found growing in clusters, with one tree reaching a diameter of 60 cm. In the dry hilly areas, D. rigidus was identified in several sample plots; this species dominates the dryland habitat, with diameters approaching 100 cm.</w:t>
      </w:r>
    </w:p>
    <w:p w14:paraId="0057D857" w14:textId="2D5A2C72"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 xml:space="preserve">The seedling stage has the lowest diversity index among all growth stages. This condition was attributed to the last mass flowering event occurring in 2018, after which no mass flowering of Dipterocarpaceae species was observed until the time of this study. Based on field observations, </w:t>
      </w:r>
      <w:r w:rsidRPr="00E67901">
        <w:rPr>
          <w:rFonts w:eastAsiaTheme="minorHAnsi"/>
          <w:i/>
          <w:iCs/>
          <w:szCs w:val="22"/>
          <w:lang w:val="en-ID"/>
        </w:rPr>
        <w:t>S. curtisii</w:t>
      </w:r>
      <w:r w:rsidRPr="00543531">
        <w:rPr>
          <w:rFonts w:eastAsiaTheme="minorHAnsi"/>
          <w:szCs w:val="22"/>
          <w:lang w:val="en-ID"/>
        </w:rPr>
        <w:t xml:space="preserve"> showed strong dominance at the tree stage but did not exhibit a similar pattern at the seedling stage. This phenomenon indicates disturbances in the species’ natural regeneration process within its habitat. One of the main factors </w:t>
      </w:r>
      <w:r w:rsidR="005711CF">
        <w:rPr>
          <w:rFonts w:eastAsiaTheme="minorHAnsi"/>
          <w:szCs w:val="22"/>
          <w:lang w:val="en-ID"/>
        </w:rPr>
        <w:t>limiting the natural regeneration of S. curtisii is competition, particularly with species from other families that are better adapted</w:t>
      </w:r>
      <w:r w:rsidRPr="00543531">
        <w:rPr>
          <w:rFonts w:eastAsiaTheme="minorHAnsi"/>
          <w:szCs w:val="22"/>
          <w:lang w:val="en-ID"/>
        </w:rPr>
        <w:t xml:space="preserve"> to environmental changes. Pioneer tree species from the families Euphorbiaceae and Moraceae, as well as understory vegetation such as </w:t>
      </w:r>
      <w:r w:rsidRPr="00E67901">
        <w:rPr>
          <w:rFonts w:eastAsiaTheme="minorHAnsi"/>
          <w:i/>
          <w:iCs/>
          <w:szCs w:val="22"/>
          <w:lang w:val="en-ID"/>
        </w:rPr>
        <w:t>Dicranopteris linearis</w:t>
      </w:r>
      <w:r w:rsidRPr="00543531">
        <w:rPr>
          <w:rFonts w:eastAsiaTheme="minorHAnsi"/>
          <w:szCs w:val="22"/>
          <w:lang w:val="en-ID"/>
        </w:rPr>
        <w:t>, often dominate the forest floor after fire events, thereby inhibiting the growth and development of S. curtisii seedlings [35]. S.curtisii produces relatively few seeds in the natural forest [24].</w:t>
      </w:r>
    </w:p>
    <w:p w14:paraId="45131F0D" w14:textId="658B72E2"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 xml:space="preserve">In certain areas of the Sungai Harapan Protected Forest Special Block, Batam, </w:t>
      </w:r>
      <w:r w:rsidRPr="00E67901">
        <w:rPr>
          <w:rFonts w:eastAsiaTheme="minorHAnsi"/>
          <w:i/>
          <w:iCs/>
          <w:szCs w:val="22"/>
          <w:lang w:val="en-ID"/>
        </w:rPr>
        <w:t>S. curtisii</w:t>
      </w:r>
      <w:r w:rsidRPr="00543531">
        <w:rPr>
          <w:rFonts w:eastAsiaTheme="minorHAnsi"/>
          <w:szCs w:val="22"/>
          <w:lang w:val="en-ID"/>
        </w:rPr>
        <w:t xml:space="preserve"> was identified as one of the species that survived the major forest fire event in 2015. Following a forest fire, land cover shifts to be</w:t>
      </w:r>
      <w:r w:rsidR="005711CF">
        <w:rPr>
          <w:rFonts w:eastAsiaTheme="minorHAnsi"/>
          <w:szCs w:val="22"/>
          <w:lang w:val="en-ID"/>
        </w:rPr>
        <w:t xml:space="preserve"> dominated by pioneer species and vegetation capable of rapid growth and colonization, such as D. linearis,</w:t>
      </w:r>
      <w:r w:rsidRPr="00543531">
        <w:rPr>
          <w:rFonts w:eastAsiaTheme="minorHAnsi"/>
          <w:szCs w:val="22"/>
          <w:lang w:val="en-ID"/>
        </w:rPr>
        <w:t xml:space="preserve"> within the forest understory. However, these conditions are unfavorable for the regeneration of S. curtisii, a climax species [35]. According to [16], </w:t>
      </w:r>
      <w:r w:rsidRPr="003D79B6">
        <w:rPr>
          <w:rFonts w:eastAsiaTheme="minorHAnsi"/>
          <w:i/>
          <w:iCs/>
          <w:szCs w:val="22"/>
          <w:lang w:val="en-ID"/>
        </w:rPr>
        <w:t>S. curtisii</w:t>
      </w:r>
      <w:r w:rsidRPr="00543531">
        <w:rPr>
          <w:rFonts w:eastAsiaTheme="minorHAnsi"/>
          <w:szCs w:val="22"/>
          <w:lang w:val="en-ID"/>
        </w:rPr>
        <w:t xml:space="preserve"> is still found in the remnant lowland dipterocarp forest of Bukit Tiban, Batam Island, despite past disturbances. This indicates that, even after fires and habitat disturbances altered the forest composition, the remaining dipterocarp population holds the potential for natural forest regeneration and long-term ecosystem recovery. Dipterocarps are native plants that sustain tropical forest biodiversity [33].</w:t>
      </w:r>
    </w:p>
    <w:p w14:paraId="748A20BB" w14:textId="1D86C7A0" w:rsidR="00543531" w:rsidRPr="00543531" w:rsidRDefault="00543531" w:rsidP="00543531">
      <w:pPr>
        <w:pStyle w:val="Els-body-text"/>
        <w:spacing w:after="240"/>
        <w:rPr>
          <w:rFonts w:eastAsiaTheme="minorHAnsi"/>
          <w:szCs w:val="22"/>
          <w:lang w:val="en-ID"/>
        </w:rPr>
      </w:pPr>
      <w:r w:rsidRPr="003D79B6">
        <w:rPr>
          <w:rFonts w:eastAsiaTheme="minorHAnsi"/>
          <w:i/>
          <w:iCs/>
          <w:szCs w:val="22"/>
          <w:lang w:val="en-ID"/>
        </w:rPr>
        <w:t>S. curtisii</w:t>
      </w:r>
      <w:r w:rsidRPr="00543531">
        <w:rPr>
          <w:rFonts w:eastAsiaTheme="minorHAnsi"/>
          <w:szCs w:val="22"/>
          <w:lang w:val="en-ID"/>
        </w:rPr>
        <w:t xml:space="preserve"> seedlings exhibit higher survival rates in canopy gaps compared to those growing under a closed canopy [34]. However, these findings did not account for topographic factors or distance from the parent tree. Field observations indicate that </w:t>
      </w:r>
      <w:r w:rsidRPr="003D79B6">
        <w:rPr>
          <w:rFonts w:eastAsiaTheme="minorHAnsi"/>
          <w:i/>
          <w:iCs/>
          <w:szCs w:val="22"/>
          <w:lang w:val="en-ID"/>
        </w:rPr>
        <w:t>S. curtisii</w:t>
      </w:r>
      <w:r w:rsidRPr="00543531">
        <w:rPr>
          <w:rFonts w:eastAsiaTheme="minorHAnsi"/>
          <w:szCs w:val="22"/>
          <w:lang w:val="en-ID"/>
        </w:rPr>
        <w:t xml:space="preserve"> planted in open areas tends to show better growth than that planted under canopy shade. Naturally, </w:t>
      </w:r>
      <w:r w:rsidRPr="003D79B6">
        <w:rPr>
          <w:rFonts w:eastAsiaTheme="minorHAnsi"/>
          <w:i/>
          <w:iCs/>
          <w:szCs w:val="22"/>
          <w:lang w:val="en-ID"/>
        </w:rPr>
        <w:t>S. curtisii</w:t>
      </w:r>
      <w:r w:rsidRPr="00543531">
        <w:rPr>
          <w:rFonts w:eastAsiaTheme="minorHAnsi"/>
          <w:szCs w:val="22"/>
          <w:lang w:val="en-ID"/>
        </w:rPr>
        <w:t xml:space="preserve"> grows in hilly environments and produces small seeds, a trait that facilitates dispersal over a wider area and prevents seeds from accumulating solely around the parent tree. </w:t>
      </w:r>
    </w:p>
    <w:p w14:paraId="721699C5" w14:textId="26EADA3B"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Among the sapling</w:t>
      </w:r>
      <w:r w:rsidR="005711CF">
        <w:rPr>
          <w:rFonts w:eastAsiaTheme="minorHAnsi"/>
          <w:szCs w:val="22"/>
          <w:lang w:val="en-ID"/>
        </w:rPr>
        <w:t>s</w:t>
      </w:r>
      <w:r w:rsidRPr="00543531">
        <w:rPr>
          <w:rFonts w:eastAsiaTheme="minorHAnsi"/>
          <w:szCs w:val="22"/>
          <w:lang w:val="en-ID"/>
        </w:rPr>
        <w:t xml:space="preserve">, those belonging to the genus Hopea were the most frequently encountered. At the saplings stage, </w:t>
      </w:r>
      <w:r w:rsidRPr="003D79B6">
        <w:rPr>
          <w:rFonts w:eastAsiaTheme="minorHAnsi"/>
          <w:i/>
          <w:iCs/>
          <w:szCs w:val="22"/>
          <w:lang w:val="en-ID"/>
        </w:rPr>
        <w:t>H. beccariana</w:t>
      </w:r>
      <w:r w:rsidRPr="00543531">
        <w:rPr>
          <w:rFonts w:eastAsiaTheme="minorHAnsi"/>
          <w:szCs w:val="22"/>
          <w:lang w:val="en-ID"/>
        </w:rPr>
        <w:t xml:space="preserve"> (merawan) was most commonly found, as this species produces abundant seeds that germinate readily on the forest floor during the fruiting season. </w:t>
      </w:r>
      <w:r w:rsidRPr="003D79B6">
        <w:rPr>
          <w:rFonts w:eastAsiaTheme="minorHAnsi"/>
          <w:i/>
          <w:iCs/>
          <w:szCs w:val="22"/>
          <w:lang w:val="en-ID"/>
        </w:rPr>
        <w:t>H. beccariana</w:t>
      </w:r>
      <w:r w:rsidRPr="00543531">
        <w:rPr>
          <w:rFonts w:eastAsiaTheme="minorHAnsi"/>
          <w:szCs w:val="22"/>
          <w:lang w:val="en-ID"/>
        </w:rPr>
        <w:t xml:space="preserve"> was also found throughout the study area, demonstrating its strong adaptability to the forest ecosystem. The dominance of Hopea species </w:t>
      </w:r>
      <w:r w:rsidR="005711CF">
        <w:rPr>
          <w:rFonts w:eastAsiaTheme="minorHAnsi"/>
          <w:szCs w:val="22"/>
          <w:lang w:val="en-ID"/>
        </w:rPr>
        <w:t>is due to the need for</w:t>
      </w:r>
      <w:r w:rsidRPr="00543531">
        <w:rPr>
          <w:rFonts w:eastAsiaTheme="minorHAnsi"/>
          <w:szCs w:val="22"/>
          <w:lang w:val="en-ID"/>
        </w:rPr>
        <w:t xml:space="preserve"> shade for growth [24]. However, field observations indicate that Hopea can grow well, especially at the sapling stage, in both open and shaded habitats. Species distribution and abundance were influenced by local environmental conditions, including humidity, temperature, elevation, and soil fertility; these factors determine habitat suitability and support species growth [36]. </w:t>
      </w:r>
    </w:p>
    <w:p w14:paraId="681613E0" w14:textId="0EA1A269"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 xml:space="preserve">The second most dominant sapling species was V. </w:t>
      </w:r>
      <w:r w:rsidRPr="005711CF">
        <w:rPr>
          <w:rFonts w:eastAsiaTheme="minorHAnsi"/>
          <w:i/>
          <w:iCs/>
          <w:szCs w:val="22"/>
          <w:lang w:val="en-ID"/>
        </w:rPr>
        <w:t>pauciflora</w:t>
      </w:r>
      <w:r w:rsidRPr="00543531">
        <w:rPr>
          <w:rFonts w:eastAsiaTheme="minorHAnsi"/>
          <w:szCs w:val="22"/>
          <w:lang w:val="en-ID"/>
        </w:rPr>
        <w:t xml:space="preserve">; this species was found growing in clusters in areas far from water sources. Newly emerged seedlings with </w:t>
      </w:r>
      <w:r w:rsidR="005711CF">
        <w:rPr>
          <w:rFonts w:eastAsiaTheme="minorHAnsi"/>
          <w:szCs w:val="22"/>
          <w:lang w:val="en-ID"/>
        </w:rPr>
        <w:t>4 leaves were frequently observed, with up to 20</w:t>
      </w:r>
      <w:r w:rsidRPr="00543531">
        <w:rPr>
          <w:rFonts w:eastAsiaTheme="minorHAnsi"/>
          <w:szCs w:val="22"/>
          <w:lang w:val="en-ID"/>
        </w:rPr>
        <w:t xml:space="preserve"> per 2 × 2 m plot</w:t>
      </w:r>
      <w:r w:rsidRPr="003D79B6">
        <w:rPr>
          <w:rFonts w:eastAsiaTheme="minorHAnsi"/>
          <w:i/>
          <w:iCs/>
          <w:szCs w:val="22"/>
          <w:lang w:val="en-ID"/>
        </w:rPr>
        <w:t>. V. pauciflora</w:t>
      </w:r>
      <w:r w:rsidR="005711CF">
        <w:rPr>
          <w:rFonts w:eastAsiaTheme="minorHAnsi"/>
          <w:i/>
          <w:iCs/>
          <w:szCs w:val="22"/>
          <w:lang w:val="en-ID"/>
        </w:rPr>
        <w:t xml:space="preserve"> </w:t>
      </w:r>
      <w:r w:rsidRPr="003D79B6">
        <w:rPr>
          <w:rFonts w:eastAsiaTheme="minorHAnsi"/>
          <w:i/>
          <w:iCs/>
          <w:szCs w:val="22"/>
          <w:lang w:val="en-ID"/>
        </w:rPr>
        <w:t>produces</w:t>
      </w:r>
      <w:r w:rsidRPr="00543531">
        <w:rPr>
          <w:rFonts w:eastAsiaTheme="minorHAnsi"/>
          <w:szCs w:val="22"/>
          <w:lang w:val="en-ID"/>
        </w:rPr>
        <w:t xml:space="preserve"> "geluk" type fruits with imperfect wings, which facilitate seed dispersal through water. Along riverbanks, V. </w:t>
      </w:r>
      <w:r w:rsidRPr="005711CF">
        <w:rPr>
          <w:rFonts w:eastAsiaTheme="minorHAnsi"/>
          <w:i/>
          <w:iCs/>
          <w:szCs w:val="22"/>
          <w:lang w:val="en-ID"/>
        </w:rPr>
        <w:t>pauciflora</w:t>
      </w:r>
      <w:r w:rsidRPr="00543531">
        <w:rPr>
          <w:rFonts w:eastAsiaTheme="minorHAnsi"/>
          <w:szCs w:val="22"/>
          <w:lang w:val="en-ID"/>
        </w:rPr>
        <w:t xml:space="preserve"> was distributed evenly, reflecting an ecological adaptation. Observations also indicate that V. </w:t>
      </w:r>
      <w:r w:rsidRPr="005711CF">
        <w:rPr>
          <w:rFonts w:eastAsiaTheme="minorHAnsi"/>
          <w:i/>
          <w:iCs/>
          <w:szCs w:val="22"/>
          <w:lang w:val="en-ID"/>
        </w:rPr>
        <w:t>pauciflora</w:t>
      </w:r>
      <w:r w:rsidRPr="00543531">
        <w:rPr>
          <w:rFonts w:eastAsiaTheme="minorHAnsi"/>
          <w:szCs w:val="22"/>
          <w:lang w:val="en-ID"/>
        </w:rPr>
        <w:t xml:space="preserve"> seeds were frequently eaten by caterpillars, thus inhibiting germination. At the pole stage, V. </w:t>
      </w:r>
      <w:r w:rsidRPr="005711CF">
        <w:rPr>
          <w:rFonts w:eastAsiaTheme="minorHAnsi"/>
          <w:i/>
          <w:iCs/>
          <w:szCs w:val="22"/>
          <w:lang w:val="en-ID"/>
        </w:rPr>
        <w:t>pauciflora</w:t>
      </w:r>
      <w:r w:rsidRPr="00543531">
        <w:rPr>
          <w:rFonts w:eastAsiaTheme="minorHAnsi"/>
          <w:szCs w:val="22"/>
          <w:lang w:val="en-ID"/>
        </w:rPr>
        <w:t xml:space="preserve"> has reached reproductive maturity, contributing to the abundance of seedlings observed at the study site [37].</w:t>
      </w:r>
    </w:p>
    <w:p w14:paraId="11A2D47C" w14:textId="0D1982EA" w:rsidR="00543531" w:rsidRPr="00543531" w:rsidRDefault="00543531" w:rsidP="009B3E5C">
      <w:pPr>
        <w:pStyle w:val="Els-body-text"/>
        <w:spacing w:after="240"/>
        <w:rPr>
          <w:rFonts w:eastAsiaTheme="minorHAnsi"/>
          <w:szCs w:val="22"/>
          <w:lang w:val="en-ID"/>
        </w:rPr>
      </w:pPr>
      <w:r w:rsidRPr="00543531">
        <w:rPr>
          <w:rFonts w:eastAsiaTheme="minorHAnsi"/>
          <w:szCs w:val="22"/>
          <w:lang w:val="en-ID"/>
        </w:rPr>
        <w:t xml:space="preserve">In addition to the vegetation analysis, several species not included in the sample plots were identified along the paths connecting the observation plots. Species recorded during the exploratory survey </w:t>
      </w:r>
      <w:r w:rsidRPr="003D79B6">
        <w:rPr>
          <w:rFonts w:eastAsiaTheme="minorHAnsi"/>
          <w:i/>
          <w:iCs/>
          <w:szCs w:val="22"/>
          <w:lang w:val="en-ID"/>
        </w:rPr>
        <w:t xml:space="preserve">include Shorea dasyphylla, Shorea guiso, Cotylelobium lanceolatum, Dryobalanops lanceolata, Dryobalanops oblongifolia, </w:t>
      </w:r>
      <w:r w:rsidRPr="003D79B6">
        <w:rPr>
          <w:rFonts w:eastAsiaTheme="minorHAnsi"/>
          <w:i/>
          <w:iCs/>
          <w:szCs w:val="22"/>
          <w:lang w:val="en-ID"/>
        </w:rPr>
        <w:lastRenderedPageBreak/>
        <w:t>Dipterocarpus kerii, Dipterocarpus lowii, Dipterocarpus intricatus, Dipterocarpus zeylanicus, Dipterocarpus chartaceus, Dipterocarpus gracilis, Hopea gregaria, Hopea odorata, Hopea nutans, Hopea helferii,</w:t>
      </w:r>
      <w:r w:rsidRPr="00543531">
        <w:rPr>
          <w:rFonts w:eastAsiaTheme="minorHAnsi"/>
          <w:szCs w:val="22"/>
          <w:lang w:val="en-ID"/>
        </w:rPr>
        <w:t xml:space="preserve"> </w:t>
      </w:r>
      <w:r w:rsidRPr="003D79B6">
        <w:rPr>
          <w:rFonts w:eastAsiaTheme="minorHAnsi"/>
          <w:i/>
          <w:iCs/>
          <w:szCs w:val="22"/>
          <w:lang w:val="en-ID"/>
        </w:rPr>
        <w:t xml:space="preserve">Shorea mecistopteryx, Shorea blumutensis, Shorea materialis, Shorea platyclados, Shorea platycarpa, Anisoptera marginata, Anisoptera costata, Anisoptera laevis, </w:t>
      </w:r>
      <w:r w:rsidRPr="003D79B6">
        <w:rPr>
          <w:rFonts w:eastAsiaTheme="minorHAnsi"/>
          <w:szCs w:val="22"/>
          <w:lang w:val="en-ID"/>
        </w:rPr>
        <w:t>and</w:t>
      </w:r>
      <w:r w:rsidRPr="003D79B6">
        <w:rPr>
          <w:rFonts w:eastAsiaTheme="minorHAnsi"/>
          <w:i/>
          <w:iCs/>
          <w:szCs w:val="22"/>
          <w:lang w:val="en-ID"/>
        </w:rPr>
        <w:t xml:space="preserve"> Vatica rassak</w:t>
      </w:r>
      <w:r w:rsidR="005711CF">
        <w:rPr>
          <w:rFonts w:eastAsiaTheme="minorHAnsi"/>
          <w:i/>
          <w:iCs/>
          <w:szCs w:val="22"/>
          <w:lang w:val="en-ID"/>
        </w:rPr>
        <w:t>.</w:t>
      </w:r>
    </w:p>
    <w:p w14:paraId="53C456C9" w14:textId="2071533B" w:rsidR="00543531" w:rsidRPr="00543531" w:rsidRDefault="00543531" w:rsidP="009B3E5C">
      <w:pPr>
        <w:pStyle w:val="Els-2ndorder-head"/>
        <w:spacing w:after="0"/>
      </w:pPr>
      <w:r w:rsidRPr="00543531">
        <w:t>Species Evenness Index</w:t>
      </w:r>
    </w:p>
    <w:p w14:paraId="2E42355D" w14:textId="7BEB1153" w:rsidR="00543531" w:rsidRPr="00543531" w:rsidRDefault="00543531" w:rsidP="00543531">
      <w:pPr>
        <w:pStyle w:val="Els-body-text"/>
        <w:spacing w:after="240"/>
        <w:rPr>
          <w:rFonts w:eastAsiaTheme="minorHAnsi"/>
          <w:szCs w:val="22"/>
          <w:lang w:val="en-ID"/>
        </w:rPr>
      </w:pPr>
      <w:r w:rsidRPr="00543531">
        <w:rPr>
          <w:rFonts w:eastAsiaTheme="minorHAnsi"/>
          <w:szCs w:val="22"/>
          <w:lang w:val="en-ID"/>
        </w:rPr>
        <w:t>All growth stages exhibit values greater than 0.6, which are categorized as high. This indicates that the distribution of species across the observation plots was relatively even. The species evenness index was presented in Table 7.</w:t>
      </w:r>
    </w:p>
    <w:p w14:paraId="0173FCD6" w14:textId="3D05EA2E" w:rsidR="00260581" w:rsidRDefault="00543531" w:rsidP="009B3E5C">
      <w:pPr>
        <w:jc w:val="center"/>
      </w:pPr>
      <w:r w:rsidRPr="00543531">
        <w:t>Table 7. Species Evenness Index</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95"/>
        <w:gridCol w:w="1586"/>
        <w:gridCol w:w="1714"/>
        <w:gridCol w:w="1023"/>
      </w:tblGrid>
      <w:tr w:rsidR="009B3E5C" w:rsidRPr="009B3E5C" w14:paraId="4ABBA215" w14:textId="77777777" w:rsidTr="005711CF">
        <w:trPr>
          <w:trHeight w:val="20"/>
          <w:jc w:val="center"/>
        </w:trPr>
        <w:tc>
          <w:tcPr>
            <w:tcW w:w="495" w:type="dxa"/>
            <w:tcBorders>
              <w:top w:val="single" w:sz="4" w:space="0" w:color="auto"/>
              <w:left w:val="nil"/>
              <w:bottom w:val="single" w:sz="4" w:space="0" w:color="auto"/>
              <w:right w:val="nil"/>
            </w:tcBorders>
            <w:vAlign w:val="center"/>
            <w:hideMark/>
          </w:tcPr>
          <w:p w14:paraId="26C3753B"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No</w:t>
            </w:r>
          </w:p>
        </w:tc>
        <w:tc>
          <w:tcPr>
            <w:tcW w:w="1586" w:type="dxa"/>
            <w:tcBorders>
              <w:top w:val="single" w:sz="4" w:space="0" w:color="auto"/>
              <w:left w:val="nil"/>
              <w:bottom w:val="single" w:sz="4" w:space="0" w:color="auto"/>
              <w:right w:val="nil"/>
            </w:tcBorders>
            <w:vAlign w:val="center"/>
            <w:hideMark/>
          </w:tcPr>
          <w:p w14:paraId="33752A8E"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szCs w:val="22"/>
              </w:rPr>
              <w:t>Growth Stage</w:t>
            </w:r>
          </w:p>
        </w:tc>
        <w:tc>
          <w:tcPr>
            <w:tcW w:w="1714" w:type="dxa"/>
            <w:tcBorders>
              <w:top w:val="single" w:sz="4" w:space="0" w:color="auto"/>
              <w:left w:val="nil"/>
              <w:bottom w:val="single" w:sz="4" w:space="0" w:color="auto"/>
              <w:right w:val="nil"/>
            </w:tcBorders>
            <w:vAlign w:val="center"/>
            <w:hideMark/>
          </w:tcPr>
          <w:p w14:paraId="30EE666C"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eastAsia="Times New Roman" w:hAnsiTheme="majorBidi" w:cstheme="majorBidi"/>
                <w:bCs/>
                <w:szCs w:val="22"/>
                <w:lang w:val="en-US"/>
              </w:rPr>
              <w:t>Evenness</w:t>
            </w:r>
            <w:r w:rsidRPr="009B3E5C">
              <w:rPr>
                <w:rFonts w:asciiTheme="majorBidi" w:hAnsiTheme="majorBidi" w:cstheme="majorBidi"/>
                <w:bCs/>
                <w:szCs w:val="22"/>
              </w:rPr>
              <w:t xml:space="preserve"> Index</w:t>
            </w:r>
          </w:p>
        </w:tc>
        <w:tc>
          <w:tcPr>
            <w:tcW w:w="959" w:type="dxa"/>
            <w:tcBorders>
              <w:top w:val="single" w:sz="4" w:space="0" w:color="auto"/>
              <w:left w:val="nil"/>
              <w:bottom w:val="single" w:sz="4" w:space="0" w:color="auto"/>
              <w:right w:val="nil"/>
            </w:tcBorders>
            <w:vAlign w:val="center"/>
            <w:hideMark/>
          </w:tcPr>
          <w:p w14:paraId="44DC1919" w14:textId="26C015B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szCs w:val="22"/>
              </w:rPr>
              <w:t>Category</w:t>
            </w:r>
          </w:p>
        </w:tc>
      </w:tr>
      <w:tr w:rsidR="009B3E5C" w:rsidRPr="009B3E5C" w14:paraId="541FFD45" w14:textId="77777777" w:rsidTr="005711CF">
        <w:trPr>
          <w:trHeight w:val="20"/>
          <w:jc w:val="center"/>
        </w:trPr>
        <w:tc>
          <w:tcPr>
            <w:tcW w:w="495" w:type="dxa"/>
            <w:tcBorders>
              <w:top w:val="single" w:sz="4" w:space="0" w:color="auto"/>
              <w:left w:val="nil"/>
              <w:bottom w:val="nil"/>
              <w:right w:val="nil"/>
            </w:tcBorders>
            <w:vAlign w:val="center"/>
            <w:hideMark/>
          </w:tcPr>
          <w:p w14:paraId="1B45DCD8"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1</w:t>
            </w:r>
          </w:p>
        </w:tc>
        <w:tc>
          <w:tcPr>
            <w:tcW w:w="1586" w:type="dxa"/>
            <w:tcBorders>
              <w:top w:val="single" w:sz="4" w:space="0" w:color="auto"/>
              <w:left w:val="nil"/>
              <w:bottom w:val="nil"/>
              <w:right w:val="nil"/>
            </w:tcBorders>
            <w:vAlign w:val="center"/>
            <w:hideMark/>
          </w:tcPr>
          <w:p w14:paraId="6235FC72" w14:textId="320DC4A1"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Seedling</w:t>
            </w:r>
          </w:p>
        </w:tc>
        <w:tc>
          <w:tcPr>
            <w:tcW w:w="1714" w:type="dxa"/>
            <w:tcBorders>
              <w:top w:val="single" w:sz="4" w:space="0" w:color="auto"/>
              <w:left w:val="nil"/>
              <w:bottom w:val="nil"/>
              <w:right w:val="nil"/>
            </w:tcBorders>
            <w:vAlign w:val="center"/>
            <w:hideMark/>
          </w:tcPr>
          <w:p w14:paraId="4C22812C" w14:textId="37487F31"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0</w:t>
            </w:r>
            <w:r w:rsidR="00302C14">
              <w:rPr>
                <w:rFonts w:asciiTheme="majorBidi" w:hAnsiTheme="majorBidi" w:cstheme="majorBidi"/>
                <w:bCs/>
                <w:color w:val="000000"/>
                <w:szCs w:val="22"/>
              </w:rPr>
              <w:t>.</w:t>
            </w:r>
            <w:r w:rsidRPr="009B3E5C">
              <w:rPr>
                <w:rFonts w:asciiTheme="majorBidi" w:hAnsiTheme="majorBidi" w:cstheme="majorBidi"/>
                <w:bCs/>
                <w:color w:val="000000"/>
                <w:szCs w:val="22"/>
              </w:rPr>
              <w:t>67</w:t>
            </w:r>
          </w:p>
        </w:tc>
        <w:tc>
          <w:tcPr>
            <w:tcW w:w="959" w:type="dxa"/>
            <w:tcBorders>
              <w:top w:val="single" w:sz="4" w:space="0" w:color="auto"/>
              <w:left w:val="nil"/>
              <w:bottom w:val="nil"/>
              <w:right w:val="nil"/>
            </w:tcBorders>
            <w:vAlign w:val="center"/>
            <w:hideMark/>
          </w:tcPr>
          <w:p w14:paraId="62C25411" w14:textId="553D2256"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High</w:t>
            </w:r>
          </w:p>
        </w:tc>
      </w:tr>
      <w:tr w:rsidR="009B3E5C" w:rsidRPr="009B3E5C" w14:paraId="7023B5A9" w14:textId="77777777" w:rsidTr="005711CF">
        <w:trPr>
          <w:trHeight w:val="20"/>
          <w:jc w:val="center"/>
        </w:trPr>
        <w:tc>
          <w:tcPr>
            <w:tcW w:w="495" w:type="dxa"/>
            <w:tcBorders>
              <w:top w:val="nil"/>
              <w:left w:val="nil"/>
              <w:bottom w:val="nil"/>
              <w:right w:val="nil"/>
            </w:tcBorders>
            <w:vAlign w:val="center"/>
            <w:hideMark/>
          </w:tcPr>
          <w:p w14:paraId="6A442BE3"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2</w:t>
            </w:r>
          </w:p>
        </w:tc>
        <w:tc>
          <w:tcPr>
            <w:tcW w:w="1586" w:type="dxa"/>
            <w:tcBorders>
              <w:top w:val="nil"/>
              <w:left w:val="nil"/>
              <w:bottom w:val="nil"/>
              <w:right w:val="nil"/>
            </w:tcBorders>
            <w:vAlign w:val="center"/>
            <w:hideMark/>
          </w:tcPr>
          <w:p w14:paraId="54548BEA"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Sapling</w:t>
            </w:r>
          </w:p>
        </w:tc>
        <w:tc>
          <w:tcPr>
            <w:tcW w:w="1714" w:type="dxa"/>
            <w:tcBorders>
              <w:top w:val="nil"/>
              <w:left w:val="nil"/>
              <w:bottom w:val="nil"/>
              <w:right w:val="nil"/>
            </w:tcBorders>
            <w:vAlign w:val="center"/>
            <w:hideMark/>
          </w:tcPr>
          <w:p w14:paraId="4A8871CA" w14:textId="1F3F0B73"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0</w:t>
            </w:r>
            <w:r w:rsidR="00302C14">
              <w:rPr>
                <w:rFonts w:asciiTheme="majorBidi" w:hAnsiTheme="majorBidi" w:cstheme="majorBidi"/>
                <w:bCs/>
                <w:color w:val="000000"/>
                <w:szCs w:val="22"/>
              </w:rPr>
              <w:t>.</w:t>
            </w:r>
            <w:r w:rsidRPr="009B3E5C">
              <w:rPr>
                <w:rFonts w:asciiTheme="majorBidi" w:hAnsiTheme="majorBidi" w:cstheme="majorBidi"/>
                <w:bCs/>
                <w:color w:val="000000"/>
                <w:szCs w:val="22"/>
              </w:rPr>
              <w:t>73</w:t>
            </w:r>
          </w:p>
        </w:tc>
        <w:tc>
          <w:tcPr>
            <w:tcW w:w="959" w:type="dxa"/>
            <w:tcBorders>
              <w:top w:val="nil"/>
              <w:left w:val="nil"/>
              <w:bottom w:val="nil"/>
              <w:right w:val="nil"/>
            </w:tcBorders>
            <w:vAlign w:val="center"/>
            <w:hideMark/>
          </w:tcPr>
          <w:p w14:paraId="6F822DCB"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High</w:t>
            </w:r>
          </w:p>
        </w:tc>
      </w:tr>
      <w:tr w:rsidR="009B3E5C" w:rsidRPr="009B3E5C" w14:paraId="5BB594B3" w14:textId="77777777" w:rsidTr="005711CF">
        <w:trPr>
          <w:trHeight w:val="20"/>
          <w:jc w:val="center"/>
        </w:trPr>
        <w:tc>
          <w:tcPr>
            <w:tcW w:w="495" w:type="dxa"/>
            <w:tcBorders>
              <w:top w:val="nil"/>
              <w:left w:val="nil"/>
              <w:bottom w:val="nil"/>
              <w:right w:val="nil"/>
            </w:tcBorders>
            <w:vAlign w:val="center"/>
            <w:hideMark/>
          </w:tcPr>
          <w:p w14:paraId="24FD0A69"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3</w:t>
            </w:r>
          </w:p>
        </w:tc>
        <w:tc>
          <w:tcPr>
            <w:tcW w:w="1586" w:type="dxa"/>
            <w:tcBorders>
              <w:top w:val="nil"/>
              <w:left w:val="nil"/>
              <w:bottom w:val="nil"/>
              <w:right w:val="nil"/>
            </w:tcBorders>
            <w:vAlign w:val="center"/>
            <w:hideMark/>
          </w:tcPr>
          <w:p w14:paraId="1A8514EB"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Pole</w:t>
            </w:r>
          </w:p>
        </w:tc>
        <w:tc>
          <w:tcPr>
            <w:tcW w:w="1714" w:type="dxa"/>
            <w:tcBorders>
              <w:top w:val="nil"/>
              <w:left w:val="nil"/>
              <w:bottom w:val="nil"/>
              <w:right w:val="nil"/>
            </w:tcBorders>
            <w:vAlign w:val="center"/>
            <w:hideMark/>
          </w:tcPr>
          <w:p w14:paraId="7E804CBD" w14:textId="33C08F3A"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0</w:t>
            </w:r>
            <w:r w:rsidR="00302C14">
              <w:rPr>
                <w:rFonts w:asciiTheme="majorBidi" w:hAnsiTheme="majorBidi" w:cstheme="majorBidi"/>
                <w:bCs/>
                <w:color w:val="000000"/>
                <w:szCs w:val="22"/>
              </w:rPr>
              <w:t>.</w:t>
            </w:r>
            <w:r w:rsidRPr="009B3E5C">
              <w:rPr>
                <w:rFonts w:asciiTheme="majorBidi" w:hAnsiTheme="majorBidi" w:cstheme="majorBidi"/>
                <w:bCs/>
                <w:color w:val="000000"/>
                <w:szCs w:val="22"/>
              </w:rPr>
              <w:t>86</w:t>
            </w:r>
          </w:p>
        </w:tc>
        <w:tc>
          <w:tcPr>
            <w:tcW w:w="959" w:type="dxa"/>
            <w:tcBorders>
              <w:top w:val="nil"/>
              <w:left w:val="nil"/>
              <w:bottom w:val="nil"/>
              <w:right w:val="nil"/>
            </w:tcBorders>
            <w:vAlign w:val="center"/>
            <w:hideMark/>
          </w:tcPr>
          <w:p w14:paraId="1B0CF8E8"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High</w:t>
            </w:r>
          </w:p>
        </w:tc>
      </w:tr>
      <w:tr w:rsidR="009B3E5C" w:rsidRPr="009B3E5C" w14:paraId="3C3DC36F" w14:textId="77777777" w:rsidTr="005711CF">
        <w:trPr>
          <w:trHeight w:val="20"/>
          <w:jc w:val="center"/>
        </w:trPr>
        <w:tc>
          <w:tcPr>
            <w:tcW w:w="495" w:type="dxa"/>
            <w:tcBorders>
              <w:top w:val="nil"/>
              <w:left w:val="nil"/>
              <w:bottom w:val="single" w:sz="4" w:space="0" w:color="auto"/>
              <w:right w:val="nil"/>
            </w:tcBorders>
            <w:vAlign w:val="center"/>
            <w:hideMark/>
          </w:tcPr>
          <w:p w14:paraId="60168E9C"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4</w:t>
            </w:r>
          </w:p>
        </w:tc>
        <w:tc>
          <w:tcPr>
            <w:tcW w:w="1586" w:type="dxa"/>
            <w:tcBorders>
              <w:top w:val="nil"/>
              <w:left w:val="nil"/>
              <w:bottom w:val="single" w:sz="4" w:space="0" w:color="auto"/>
              <w:right w:val="nil"/>
            </w:tcBorders>
            <w:vAlign w:val="center"/>
            <w:hideMark/>
          </w:tcPr>
          <w:p w14:paraId="5C69F2FA" w14:textId="77777777"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Tree</w:t>
            </w:r>
          </w:p>
        </w:tc>
        <w:tc>
          <w:tcPr>
            <w:tcW w:w="1714" w:type="dxa"/>
            <w:tcBorders>
              <w:top w:val="nil"/>
              <w:left w:val="nil"/>
              <w:bottom w:val="single" w:sz="4" w:space="0" w:color="auto"/>
              <w:right w:val="nil"/>
            </w:tcBorders>
            <w:vAlign w:val="center"/>
            <w:hideMark/>
          </w:tcPr>
          <w:p w14:paraId="679B47C5" w14:textId="21C09FA1"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0</w:t>
            </w:r>
            <w:r w:rsidR="00302C14">
              <w:rPr>
                <w:rFonts w:asciiTheme="majorBidi" w:hAnsiTheme="majorBidi" w:cstheme="majorBidi"/>
                <w:bCs/>
                <w:color w:val="000000"/>
                <w:szCs w:val="22"/>
              </w:rPr>
              <w:t>.</w:t>
            </w:r>
            <w:r w:rsidRPr="009B3E5C">
              <w:rPr>
                <w:rFonts w:asciiTheme="majorBidi" w:hAnsiTheme="majorBidi" w:cstheme="majorBidi"/>
                <w:bCs/>
                <w:color w:val="000000"/>
                <w:szCs w:val="22"/>
              </w:rPr>
              <w:t>83</w:t>
            </w:r>
          </w:p>
        </w:tc>
        <w:tc>
          <w:tcPr>
            <w:tcW w:w="959" w:type="dxa"/>
            <w:tcBorders>
              <w:top w:val="nil"/>
              <w:left w:val="nil"/>
              <w:bottom w:val="single" w:sz="4" w:space="0" w:color="auto"/>
              <w:right w:val="nil"/>
            </w:tcBorders>
            <w:vAlign w:val="center"/>
            <w:hideMark/>
          </w:tcPr>
          <w:p w14:paraId="4B1D406F" w14:textId="255B32E2" w:rsidR="009B3E5C" w:rsidRPr="009B3E5C" w:rsidRDefault="009B3E5C" w:rsidP="005711CF">
            <w:pPr>
              <w:jc w:val="center"/>
              <w:rPr>
                <w:rFonts w:asciiTheme="majorBidi" w:hAnsiTheme="majorBidi" w:cstheme="majorBidi"/>
                <w:bCs/>
                <w:color w:val="000000"/>
                <w:szCs w:val="22"/>
              </w:rPr>
            </w:pPr>
            <w:r w:rsidRPr="009B3E5C">
              <w:rPr>
                <w:rFonts w:asciiTheme="majorBidi" w:hAnsiTheme="majorBidi" w:cstheme="majorBidi"/>
                <w:bCs/>
                <w:color w:val="000000"/>
                <w:szCs w:val="22"/>
              </w:rPr>
              <w:t>High</w:t>
            </w:r>
          </w:p>
        </w:tc>
      </w:tr>
    </w:tbl>
    <w:p w14:paraId="6A519064" w14:textId="77777777" w:rsidR="00260581" w:rsidRDefault="00260581" w:rsidP="009B3E5C">
      <w:pPr>
        <w:spacing w:after="240"/>
      </w:pPr>
    </w:p>
    <w:p w14:paraId="3C027B1B" w14:textId="5C1AA2CC" w:rsidR="00260581" w:rsidRDefault="009B3E5C" w:rsidP="00BE4E07">
      <w:pPr>
        <w:pStyle w:val="Els-body-text"/>
        <w:spacing w:after="240"/>
        <w:rPr>
          <w:rFonts w:eastAsiaTheme="minorHAnsi"/>
          <w:szCs w:val="22"/>
          <w:lang w:val="en-ID"/>
        </w:rPr>
      </w:pPr>
      <w:r w:rsidRPr="009B3E5C">
        <w:rPr>
          <w:rFonts w:eastAsiaTheme="minorHAnsi"/>
          <w:szCs w:val="22"/>
          <w:lang w:val="en-ID"/>
        </w:rPr>
        <w:t xml:space="preserve">The Sungai Harapan protected forest ecosystem encompasses </w:t>
      </w:r>
      <w:r w:rsidR="005711CF">
        <w:rPr>
          <w:rFonts w:eastAsiaTheme="minorHAnsi"/>
          <w:szCs w:val="22"/>
          <w:lang w:val="en-ID"/>
        </w:rPr>
        <w:t>a range of ecological niches, including open forest</w:t>
      </w:r>
      <w:r w:rsidRPr="009B3E5C">
        <w:rPr>
          <w:rFonts w:eastAsiaTheme="minorHAnsi"/>
          <w:szCs w:val="22"/>
          <w:lang w:val="en-ID"/>
        </w:rPr>
        <w:t>s, freshwater swamps, and hilly landscapes. These differences may contribute to a low species evenness index within individual observation plots. However, in this study, the evenness index tended to approach the maximum value, indicating that species distribution and abundance were relatively uniform across all observation plots. This condition was influenced by the selection of observation plots that were evenly distributed across each ecological niche. Species evenness was determined by the uniform distribution of species across observation plots and was inversely related to species dominance [38]. Higher evenness values indicate a more even species distribution and lower dominance by certain species [38</w:t>
      </w:r>
      <w:r w:rsidR="002D2C6E">
        <w:rPr>
          <w:rFonts w:eastAsiaTheme="minorHAnsi"/>
          <w:szCs w:val="22"/>
          <w:lang w:val="en-ID"/>
        </w:rPr>
        <w:t>,</w:t>
      </w:r>
      <w:r w:rsidRPr="009B3E5C">
        <w:rPr>
          <w:rFonts w:eastAsiaTheme="minorHAnsi"/>
          <w:szCs w:val="22"/>
          <w:lang w:val="en-ID"/>
        </w:rPr>
        <w:t>39].</w:t>
      </w:r>
    </w:p>
    <w:p w14:paraId="4F143844" w14:textId="0C2C36DE" w:rsidR="00696A76" w:rsidRDefault="00696A76" w:rsidP="009314BF">
      <w:pPr>
        <w:pStyle w:val="Els-1storder-head"/>
        <w:spacing w:after="0"/>
      </w:pPr>
      <w:r>
        <w:t xml:space="preserve">Conclusion </w:t>
      </w:r>
    </w:p>
    <w:p w14:paraId="55BF59A0" w14:textId="7D4F8619" w:rsidR="00696A76" w:rsidRDefault="002D2C6E" w:rsidP="002D2C6E">
      <w:pPr>
        <w:spacing w:after="240"/>
        <w:jc w:val="both"/>
      </w:pPr>
      <w:r>
        <w:t xml:space="preserve">The study on the identification of the diversity of the Dipterocarpaceae family in the Sungai Harapan Protected Forest Arboretum, Batam, Riau Islands Province, successfully identified 20 species from six genera: Cotylelobium, Dipterocarpus, Dryobalanops, Hopea, Shorea, and Vatica, with a total of 590 individuals recorded at the seedling, sapling, pole, and tree stages. The species with the highest IVI at the seedling level was </w:t>
      </w:r>
      <w:r w:rsidRPr="002D2C6E">
        <w:rPr>
          <w:i/>
          <w:iCs/>
        </w:rPr>
        <w:t>H</w:t>
      </w:r>
      <w:r w:rsidR="00FC6EBB">
        <w:rPr>
          <w:i/>
          <w:iCs/>
        </w:rPr>
        <w:t>.</w:t>
      </w:r>
      <w:r w:rsidRPr="002D2C6E">
        <w:rPr>
          <w:i/>
          <w:iCs/>
        </w:rPr>
        <w:t xml:space="preserve"> beccariana</w:t>
      </w:r>
      <w:r>
        <w:t xml:space="preserve">, followed by </w:t>
      </w:r>
      <w:r w:rsidRPr="002D2C6E">
        <w:rPr>
          <w:i/>
          <w:iCs/>
        </w:rPr>
        <w:t xml:space="preserve">S.curtisii, </w:t>
      </w:r>
      <w:r w:rsidRPr="002D2C6E">
        <w:t>and</w:t>
      </w:r>
      <w:r w:rsidRPr="002D2C6E">
        <w:rPr>
          <w:i/>
          <w:iCs/>
        </w:rPr>
        <w:t xml:space="preserve"> V</w:t>
      </w:r>
      <w:r w:rsidR="00FC6EBB">
        <w:rPr>
          <w:i/>
          <w:iCs/>
        </w:rPr>
        <w:t>.</w:t>
      </w:r>
      <w:r w:rsidRPr="002D2C6E">
        <w:rPr>
          <w:i/>
          <w:iCs/>
        </w:rPr>
        <w:t xml:space="preserve"> pauciflora</w:t>
      </w:r>
      <w:r>
        <w:t xml:space="preserve">. At the sapling level, the dominant species based on IVI </w:t>
      </w:r>
      <w:r w:rsidRPr="002D2C6E">
        <w:rPr>
          <w:i/>
          <w:iCs/>
        </w:rPr>
        <w:t>were H. beccariana</w:t>
      </w:r>
      <w:r w:rsidR="005711CF">
        <w:rPr>
          <w:i/>
          <w:iCs/>
        </w:rPr>
        <w:t>,</w:t>
      </w:r>
      <w:r w:rsidRPr="002D2C6E">
        <w:rPr>
          <w:i/>
          <w:iCs/>
        </w:rPr>
        <w:t xml:space="preserve"> S. curtisii, </w:t>
      </w:r>
      <w:r w:rsidRPr="002D2C6E">
        <w:t>and</w:t>
      </w:r>
      <w:r w:rsidRPr="002D2C6E">
        <w:rPr>
          <w:i/>
          <w:iCs/>
        </w:rPr>
        <w:t xml:space="preserve"> V</w:t>
      </w:r>
      <w:r w:rsidR="00FC6EBB">
        <w:rPr>
          <w:i/>
          <w:iCs/>
        </w:rPr>
        <w:t>.</w:t>
      </w:r>
      <w:r w:rsidRPr="002D2C6E">
        <w:rPr>
          <w:i/>
          <w:iCs/>
        </w:rPr>
        <w:t xml:space="preserve"> pauciflora</w:t>
      </w:r>
      <w:r>
        <w:t xml:space="preserve">. At the pole stage, the dominant species were </w:t>
      </w:r>
      <w:r w:rsidRPr="002D2C6E">
        <w:rPr>
          <w:i/>
          <w:iCs/>
        </w:rPr>
        <w:t>S. curtisii</w:t>
      </w:r>
      <w:r>
        <w:t xml:space="preserve">, </w:t>
      </w:r>
      <w:r w:rsidRPr="002D2C6E">
        <w:rPr>
          <w:i/>
          <w:iCs/>
        </w:rPr>
        <w:t>H. beccariana</w:t>
      </w:r>
      <w:r>
        <w:t xml:space="preserve">, and </w:t>
      </w:r>
      <w:r w:rsidRPr="002D2C6E">
        <w:rPr>
          <w:i/>
          <w:iCs/>
        </w:rPr>
        <w:t>D. rigidus</w:t>
      </w:r>
      <w:r>
        <w:t xml:space="preserve">. Meanwhile, at the tree stage, the dominant species were </w:t>
      </w:r>
      <w:r w:rsidRPr="002D2C6E">
        <w:rPr>
          <w:i/>
          <w:iCs/>
        </w:rPr>
        <w:t xml:space="preserve">S. curtisii, H. beccariana, </w:t>
      </w:r>
      <w:r w:rsidRPr="002D2C6E">
        <w:t>and</w:t>
      </w:r>
      <w:r w:rsidRPr="002D2C6E">
        <w:rPr>
          <w:i/>
          <w:iCs/>
        </w:rPr>
        <w:t xml:space="preserve"> D. rigidus</w:t>
      </w:r>
      <w:r>
        <w:t>. All species recorded at the tree stage were native species. The Shannon–Wiener diversity index of the Dipterocarpaceae family was categorized as moderate, while the species evenness index was categorized as high. Species evenness is determined by the uniform distribution of species across observation plots and is inversely related to species dominance</w:t>
      </w:r>
      <w:r w:rsidR="005711CF">
        <w:t>. H</w:t>
      </w:r>
      <w:r>
        <w:t>igher evenness values indicate a more even species distribution and lower dominance by certain species.</w:t>
      </w:r>
      <w:r w:rsidR="00696A76">
        <w:t xml:space="preserve"> </w:t>
      </w:r>
    </w:p>
    <w:p w14:paraId="765E60DB" w14:textId="02AF101C" w:rsidR="00143DA3" w:rsidRDefault="00F1497F" w:rsidP="00143DA3">
      <w:pPr>
        <w:pStyle w:val="Els-reference-head"/>
        <w:spacing w:before="0" w:after="0" w:line="240" w:lineRule="auto"/>
        <w:rPr>
          <w:sz w:val="22"/>
          <w:szCs w:val="22"/>
          <w:lang w:val="es-ES"/>
        </w:rPr>
      </w:pPr>
      <w:r w:rsidRPr="00CC2E5E">
        <w:rPr>
          <w:sz w:val="22"/>
          <w:szCs w:val="22"/>
          <w:lang w:val="es-ES"/>
        </w:rPr>
        <w:t>References</w:t>
      </w:r>
    </w:p>
    <w:p w14:paraId="108B3849"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9C02BF">
        <w:rPr>
          <w:rFonts w:asciiTheme="majorBidi" w:hAnsiTheme="majorBidi" w:cstheme="majorBidi"/>
          <w:szCs w:val="22"/>
        </w:rPr>
        <w:t>Magurran, A.E., &amp; McGill, B.J. (Eds.)</w:t>
      </w:r>
      <w:r w:rsidR="00046607">
        <w:rPr>
          <w:rFonts w:asciiTheme="majorBidi" w:hAnsiTheme="majorBidi" w:cstheme="majorBidi"/>
          <w:szCs w:val="22"/>
        </w:rPr>
        <w:t xml:space="preserve"> </w:t>
      </w:r>
      <w:r w:rsidRPr="009C02BF">
        <w:rPr>
          <w:rStyle w:val="Emphasis"/>
          <w:rFonts w:asciiTheme="majorBidi" w:hAnsiTheme="majorBidi" w:cstheme="majorBidi"/>
          <w:szCs w:val="22"/>
        </w:rPr>
        <w:t>Biological Diversity: Frontiers in Measurement and Assessment</w:t>
      </w:r>
      <w:r w:rsidRPr="009C02BF">
        <w:rPr>
          <w:rFonts w:asciiTheme="majorBidi" w:hAnsiTheme="majorBidi" w:cstheme="majorBidi"/>
          <w:szCs w:val="22"/>
        </w:rPr>
        <w:t xml:space="preserve"> (2nd ed.). Oxford University Press, 2023</w:t>
      </w:r>
    </w:p>
    <w:p w14:paraId="202CE08C"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N. Arrofaha, H.H. Rachmat, A. Salamah, F.G Dwiyanti, I.Z. Siregar, O. Gailing, K. Kamiya, “What transformation is needed in Indonesia's Dipterocarpaceae research to contribute to global tropical forestry?,” </w:t>
      </w:r>
      <w:r w:rsidRPr="00046607">
        <w:rPr>
          <w:rFonts w:asciiTheme="majorBidi" w:eastAsia="Times New Roman" w:hAnsiTheme="majorBidi" w:cstheme="majorBidi"/>
          <w:i/>
          <w:iCs/>
          <w:szCs w:val="22"/>
          <w:lang w:val="en-US"/>
        </w:rPr>
        <w:t>Silva Fennica</w:t>
      </w:r>
      <w:r w:rsidRPr="00046607">
        <w:rPr>
          <w:rFonts w:asciiTheme="majorBidi" w:eastAsia="Times New Roman" w:hAnsiTheme="majorBidi" w:cstheme="majorBidi"/>
          <w:szCs w:val="22"/>
          <w:lang w:val="en-US"/>
        </w:rPr>
        <w:t>, Vol. 60, No. 2, 2026.</w:t>
      </w:r>
    </w:p>
    <w:p w14:paraId="40CA2039" w14:textId="08A0340C"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T.C. Whitmore, </w:t>
      </w:r>
      <w:r w:rsidRPr="00046607">
        <w:rPr>
          <w:rFonts w:asciiTheme="majorBidi" w:hAnsiTheme="majorBidi" w:cstheme="majorBidi"/>
          <w:i/>
          <w:iCs/>
          <w:szCs w:val="22"/>
        </w:rPr>
        <w:t>Tropical Rain Forests of the Far East</w:t>
      </w:r>
      <w:r w:rsidRPr="00046607">
        <w:rPr>
          <w:rFonts w:asciiTheme="majorBidi" w:hAnsiTheme="majorBidi" w:cstheme="majorBidi"/>
          <w:szCs w:val="22"/>
        </w:rPr>
        <w:t>, 2nd ed. Oxford, UK: Oxford University Press, 1984.</w:t>
      </w:r>
    </w:p>
    <w:p w14:paraId="284F7537"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P.S. Ashton, “Dipterocarpaceae,” in </w:t>
      </w:r>
      <w:r w:rsidRPr="00046607">
        <w:rPr>
          <w:rFonts w:asciiTheme="majorBidi" w:eastAsia="Times New Roman" w:hAnsiTheme="majorBidi" w:cstheme="majorBidi"/>
          <w:i/>
          <w:iCs/>
          <w:szCs w:val="22"/>
          <w:lang w:val="en-US"/>
        </w:rPr>
        <w:t>Flora Malesiana</w:t>
      </w:r>
      <w:r w:rsidRPr="00046607">
        <w:rPr>
          <w:rFonts w:asciiTheme="majorBidi" w:eastAsia="Times New Roman" w:hAnsiTheme="majorBidi" w:cstheme="majorBidi"/>
          <w:szCs w:val="22"/>
          <w:lang w:val="en-US"/>
        </w:rPr>
        <w:t>, Series I, Spermatophyta, vol. 9, Dordrecht, The Netherlands: Martinus Nijhoff Publishers, 1982.</w:t>
      </w:r>
    </w:p>
    <w:p w14:paraId="7C427DA8"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Purwaningsih, “Ecological distribution of Dipterocarpaceae species in Indonesia,” </w:t>
      </w:r>
      <w:r w:rsidRPr="00046607">
        <w:rPr>
          <w:rFonts w:asciiTheme="majorBidi" w:eastAsia="Times New Roman" w:hAnsiTheme="majorBidi" w:cstheme="majorBidi"/>
          <w:i/>
          <w:iCs/>
          <w:szCs w:val="22"/>
          <w:lang w:val="en-US"/>
        </w:rPr>
        <w:t>Biodiversitas</w:t>
      </w:r>
      <w:r w:rsidRPr="00046607">
        <w:rPr>
          <w:rFonts w:asciiTheme="majorBidi" w:eastAsia="Times New Roman" w:hAnsiTheme="majorBidi" w:cstheme="majorBidi"/>
          <w:szCs w:val="22"/>
          <w:lang w:val="en-US"/>
        </w:rPr>
        <w:t>, vol. 5, no. 2, pp. 89–5, 2004. doi:10.13057/biodiv/d050210.</w:t>
      </w:r>
    </w:p>
    <w:p w14:paraId="7372AA5A" w14:textId="10FE3276"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K. Kartawinata, Purwaningsih, T. Partomihardjo, R Yusuf, R. Abdulhadi and S Riswan., “</w:t>
      </w:r>
      <w:r w:rsidRPr="00046607">
        <w:rPr>
          <w:rFonts w:asciiTheme="majorBidi" w:hAnsiTheme="majorBidi" w:cstheme="majorBidi"/>
          <w:szCs w:val="22"/>
        </w:rPr>
        <w:t xml:space="preserve">A tree species inventory in a one-hectare plot at the Batang Gadis National Park, North Sumatra, Indonesia, </w:t>
      </w:r>
      <w:r w:rsidRPr="00046607">
        <w:rPr>
          <w:rFonts w:asciiTheme="majorBidi" w:eastAsia="Times New Roman" w:hAnsiTheme="majorBidi" w:cstheme="majorBidi"/>
          <w:i/>
          <w:iCs/>
          <w:szCs w:val="22"/>
          <w:lang w:val="en-US"/>
        </w:rPr>
        <w:t>Reinwardtia</w:t>
      </w:r>
      <w:r w:rsidRPr="00046607">
        <w:rPr>
          <w:rFonts w:asciiTheme="majorBidi" w:eastAsia="Times New Roman" w:hAnsiTheme="majorBidi" w:cstheme="majorBidi"/>
          <w:szCs w:val="22"/>
          <w:lang w:val="en-US"/>
        </w:rPr>
        <w:t xml:space="preserve"> v</w:t>
      </w:r>
      <w:r w:rsidRPr="00046607">
        <w:rPr>
          <w:rFonts w:asciiTheme="majorBidi" w:hAnsiTheme="majorBidi" w:cstheme="majorBidi"/>
          <w:szCs w:val="22"/>
        </w:rPr>
        <w:t>ol.12 no 4, 2004</w:t>
      </w:r>
      <w:r w:rsidR="00046607">
        <w:rPr>
          <w:rFonts w:asciiTheme="majorBidi" w:hAnsiTheme="majorBidi" w:cstheme="majorBidi"/>
          <w:szCs w:val="22"/>
        </w:rPr>
        <w:t>.</w:t>
      </w:r>
      <w:r w:rsidRPr="00046607">
        <w:rPr>
          <w:rFonts w:asciiTheme="majorBidi" w:eastAsia="Times New Roman" w:hAnsiTheme="majorBidi" w:cstheme="majorBidi"/>
          <w:i/>
          <w:iCs/>
          <w:szCs w:val="22"/>
          <w:lang w:val="en-US"/>
        </w:rPr>
        <w:t xml:space="preserve"> </w:t>
      </w:r>
    </w:p>
    <w:p w14:paraId="71D6FB8E"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S. Appanah and J.M. Turnbull (Eds.), </w:t>
      </w:r>
      <w:r w:rsidRPr="00046607">
        <w:rPr>
          <w:rFonts w:asciiTheme="majorBidi" w:eastAsia="Times New Roman" w:hAnsiTheme="majorBidi" w:cstheme="majorBidi"/>
          <w:i/>
          <w:iCs/>
          <w:szCs w:val="22"/>
          <w:lang w:val="en-US"/>
        </w:rPr>
        <w:t>A Review of Dipterocarps: Taxonomy, Ecology and Silviculture</w:t>
      </w:r>
      <w:r w:rsidRPr="00046607">
        <w:rPr>
          <w:rFonts w:asciiTheme="majorBidi" w:eastAsia="Times New Roman" w:hAnsiTheme="majorBidi" w:cstheme="majorBidi"/>
          <w:szCs w:val="22"/>
          <w:lang w:val="en-US"/>
        </w:rPr>
        <w:t>. Bogor, Indonesia: Center for International Forestry Research (CIFOR), 1998.</w:t>
      </w:r>
    </w:p>
    <w:p w14:paraId="40232CFE"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lastRenderedPageBreak/>
        <w:t xml:space="preserve">Widiyono, “Biological and economic values of Dipterocarpaceae, the main timber forest product of Indonesia,” </w:t>
      </w:r>
      <w:r w:rsidRPr="00046607">
        <w:rPr>
          <w:rFonts w:asciiTheme="majorBidi" w:eastAsia="Times New Roman" w:hAnsiTheme="majorBidi" w:cstheme="majorBidi"/>
          <w:i/>
          <w:iCs/>
          <w:szCs w:val="22"/>
          <w:lang w:val="en-US"/>
        </w:rPr>
        <w:t>Indonesian Journal of Applied Environmental Studies</w:t>
      </w:r>
      <w:r w:rsidRPr="00046607">
        <w:rPr>
          <w:rFonts w:asciiTheme="majorBidi" w:eastAsia="Times New Roman" w:hAnsiTheme="majorBidi" w:cstheme="majorBidi"/>
          <w:szCs w:val="22"/>
          <w:lang w:val="en-US"/>
        </w:rPr>
        <w:t>, vol. 2, no. 2, 2020.</w:t>
      </w:r>
    </w:p>
    <w:p w14:paraId="03747319"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P.S. Ashton and J. Heckenhauer, “Tribe Shoreae (Dipterocarpaceae subfamily Dipterocarpoideae) finally dissected,” </w:t>
      </w:r>
      <w:r w:rsidRPr="00046607">
        <w:rPr>
          <w:rFonts w:asciiTheme="majorBidi" w:eastAsia="Times New Roman" w:hAnsiTheme="majorBidi" w:cstheme="majorBidi"/>
          <w:i/>
          <w:iCs/>
          <w:szCs w:val="22"/>
          <w:lang w:val="en-US"/>
        </w:rPr>
        <w:t>Kew Bulletin</w:t>
      </w:r>
      <w:r w:rsidRPr="00046607">
        <w:rPr>
          <w:rFonts w:asciiTheme="majorBidi" w:eastAsia="Times New Roman" w:hAnsiTheme="majorBidi" w:cstheme="majorBidi"/>
          <w:szCs w:val="22"/>
          <w:lang w:val="en-US"/>
        </w:rPr>
        <w:t>, vol. 77, pp. 885–903, 2022.</w:t>
      </w:r>
    </w:p>
    <w:p w14:paraId="52D287EC"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Style w:val="reference"/>
          <w:rFonts w:asciiTheme="majorBidi" w:hAnsiTheme="majorBidi" w:cstheme="majorBidi"/>
          <w:szCs w:val="22"/>
        </w:rPr>
        <w:t>B.A. Margono, P.V. Potapov, S. Turubanova, F. Stolle, and M.C. Hansen</w:t>
      </w:r>
      <w:r w:rsidRPr="00046607">
        <w:rPr>
          <w:rFonts w:asciiTheme="majorBidi" w:eastAsia="Times New Roman" w:hAnsiTheme="majorBidi" w:cstheme="majorBidi"/>
          <w:szCs w:val="22"/>
          <w:lang w:val="en-US"/>
        </w:rPr>
        <w:t xml:space="preserve">, “Primary forest cover loss in Indonesia over 2000–2012,” </w:t>
      </w:r>
      <w:r w:rsidRPr="00046607">
        <w:rPr>
          <w:rFonts w:asciiTheme="majorBidi" w:eastAsia="Times New Roman" w:hAnsiTheme="majorBidi" w:cstheme="majorBidi"/>
          <w:i/>
          <w:iCs/>
          <w:szCs w:val="22"/>
          <w:lang w:val="en-US"/>
        </w:rPr>
        <w:t>Nature Climate Change</w:t>
      </w:r>
      <w:r w:rsidRPr="00046607">
        <w:rPr>
          <w:rFonts w:asciiTheme="majorBidi" w:eastAsia="Times New Roman" w:hAnsiTheme="majorBidi" w:cstheme="majorBidi"/>
          <w:szCs w:val="22"/>
          <w:lang w:val="en-US"/>
        </w:rPr>
        <w:t>, vol. 4, pp. 730–735, 2014.</w:t>
      </w:r>
    </w:p>
    <w:p w14:paraId="2349C066"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D.L.A. Gaveau, S. Sloan, E. Molidena, et al., “Four decades of forest persistence, clearance and logging on Borneo,” </w:t>
      </w:r>
      <w:r w:rsidRPr="00046607">
        <w:rPr>
          <w:rFonts w:asciiTheme="majorBidi" w:eastAsia="Times New Roman" w:hAnsiTheme="majorBidi" w:cstheme="majorBidi"/>
          <w:i/>
          <w:iCs/>
          <w:szCs w:val="22"/>
          <w:lang w:val="en-US"/>
        </w:rPr>
        <w:t>PLoS ONE</w:t>
      </w:r>
      <w:r w:rsidRPr="00046607">
        <w:rPr>
          <w:rFonts w:asciiTheme="majorBidi" w:eastAsia="Times New Roman" w:hAnsiTheme="majorBidi" w:cstheme="majorBidi"/>
          <w:szCs w:val="22"/>
          <w:lang w:val="en-US"/>
        </w:rPr>
        <w:t>, vol. 9, no. 7, e101654, 2014.</w:t>
      </w:r>
    </w:p>
    <w:p w14:paraId="579E8732"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T. Bodo, S. Gimah, and V.B. Seomoni, “Deforestation and habitat loss: Human causes, consequences and possible solutions,” </w:t>
      </w:r>
      <w:r w:rsidRPr="00046607">
        <w:rPr>
          <w:rFonts w:asciiTheme="majorBidi" w:eastAsia="Times New Roman" w:hAnsiTheme="majorBidi" w:cstheme="majorBidi"/>
          <w:i/>
          <w:iCs/>
          <w:szCs w:val="22"/>
          <w:lang w:val="en-US"/>
        </w:rPr>
        <w:t>Journal of Geographical Research</w:t>
      </w:r>
      <w:r w:rsidRPr="00046607">
        <w:rPr>
          <w:rFonts w:asciiTheme="majorBidi" w:eastAsia="Times New Roman" w:hAnsiTheme="majorBidi" w:cstheme="majorBidi"/>
          <w:szCs w:val="22"/>
          <w:lang w:val="en-US"/>
        </w:rPr>
        <w:t>, vol. 4, no. 3, pp. 22–31, 2021.</w:t>
      </w:r>
    </w:p>
    <w:p w14:paraId="321A0955" w14:textId="77777777" w:rsidR="00046607" w:rsidRPr="00046607" w:rsidRDefault="009C02BF" w:rsidP="00046607">
      <w:pPr>
        <w:pStyle w:val="ListParagraph"/>
        <w:numPr>
          <w:ilvl w:val="0"/>
          <w:numId w:val="21"/>
        </w:numPr>
        <w:spacing w:after="240"/>
        <w:ind w:left="567" w:hanging="567"/>
        <w:jc w:val="both"/>
        <w:rPr>
          <w:rStyle w:val="Hyperlink"/>
          <w:rFonts w:eastAsia="Times New Roman" w:cs="Times New Roman"/>
          <w:color w:val="auto"/>
          <w:szCs w:val="22"/>
          <w:u w:val="none"/>
        </w:rPr>
      </w:pPr>
      <w:r w:rsidRPr="00046607">
        <w:rPr>
          <w:rFonts w:asciiTheme="majorBidi" w:hAnsiTheme="majorBidi" w:cstheme="majorBidi"/>
          <w:szCs w:val="22"/>
        </w:rPr>
        <w:t xml:space="preserve">A. Susilowati, K. Wijaya, Mawazin, H. H. Rachmat, Y. Lismayati, H. Kurniawan, and I. M. Ginting, “Conserving dipterocarps biodiversity in remnant forests of Batam Island,” </w:t>
      </w:r>
      <w:r w:rsidRPr="00046607">
        <w:rPr>
          <w:rFonts w:asciiTheme="majorBidi" w:eastAsia="Times New Roman" w:hAnsiTheme="majorBidi" w:cstheme="majorBidi"/>
          <w:i/>
          <w:iCs/>
          <w:szCs w:val="22"/>
          <w:lang w:val="en-US"/>
        </w:rPr>
        <w:t>Biodiversitas</w:t>
      </w:r>
      <w:r w:rsidRPr="00046607">
        <w:rPr>
          <w:rFonts w:asciiTheme="majorBidi" w:hAnsiTheme="majorBidi" w:cstheme="majorBidi"/>
          <w:szCs w:val="22"/>
        </w:rPr>
        <w:t xml:space="preserve"> Vol 25, no. 2, February 2024.</w:t>
      </w:r>
      <w:r w:rsidRPr="00046607">
        <w:rPr>
          <w:rStyle w:val="Hyperlink"/>
          <w:rFonts w:asciiTheme="majorBidi" w:hAnsiTheme="majorBidi" w:cstheme="majorBidi"/>
          <w:color w:val="auto"/>
          <w:szCs w:val="22"/>
          <w:u w:val="none"/>
        </w:rPr>
        <w:t xml:space="preserve"> </w:t>
      </w:r>
    </w:p>
    <w:p w14:paraId="04F28EE5"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Ministry of Environment and Forestry of the Republic of Indonesia, </w:t>
      </w:r>
      <w:r w:rsidRPr="00046607">
        <w:rPr>
          <w:rFonts w:asciiTheme="majorBidi" w:eastAsia="Times New Roman" w:hAnsiTheme="majorBidi" w:cstheme="majorBidi"/>
          <w:i/>
          <w:iCs/>
          <w:szCs w:val="22"/>
          <w:lang w:val="en-US"/>
        </w:rPr>
        <w:t>Decree of the Minister of Environment and Forestry No. SK.272/MENLHK/SETJEN/PLA.0/6/2018 concerning Protected Forest Areas on Batam Island</w:t>
      </w:r>
      <w:r w:rsidRPr="00046607">
        <w:rPr>
          <w:rFonts w:asciiTheme="majorBidi" w:eastAsia="Times New Roman" w:hAnsiTheme="majorBidi" w:cstheme="majorBidi"/>
          <w:szCs w:val="22"/>
          <w:lang w:val="en-US"/>
        </w:rPr>
        <w:t>. Jakarta, Indonesia, 2018.</w:t>
      </w:r>
    </w:p>
    <w:p w14:paraId="73AD3CA3"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lang w:val="en-US"/>
        </w:rPr>
        <w:t xml:space="preserve">A. Octavia, D. Iswandaru, A. Hidayat, B.S. Dewi, R. Huda, A. Subagio, Nedi, and Ismail, “Diversity and feeding guilds of birds in Way Rilau Research Station, core block of KPH Batutegi, Lampung Province,” </w:t>
      </w:r>
      <w:r w:rsidRPr="00046607">
        <w:rPr>
          <w:rFonts w:asciiTheme="majorBidi" w:eastAsia="Times New Roman" w:hAnsiTheme="majorBidi" w:cstheme="majorBidi"/>
          <w:i/>
          <w:iCs/>
          <w:szCs w:val="22"/>
          <w:lang w:val="en-US"/>
        </w:rPr>
        <w:t>Global Forest Journal</w:t>
      </w:r>
      <w:r w:rsidRPr="00046607">
        <w:rPr>
          <w:rFonts w:asciiTheme="majorBidi" w:eastAsia="Times New Roman" w:hAnsiTheme="majorBidi" w:cstheme="majorBidi"/>
          <w:szCs w:val="22"/>
          <w:lang w:val="en-US"/>
        </w:rPr>
        <w:t>, vol. 4, no. 1, Jan. 2026.</w:t>
      </w:r>
    </w:p>
    <w:p w14:paraId="141D1A4B" w14:textId="63B3ED3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A. Susilowati1, H Rachmat, N Anna, D Elfiati, F.G Dwiyanti, K. Kamiya, F. Alawi, K. Wijaya, and I. M. Ginting. “Stand Composition and Structure of </w:t>
      </w:r>
      <w:r w:rsidRPr="00046607">
        <w:rPr>
          <w:rFonts w:asciiTheme="majorBidi" w:hAnsiTheme="majorBidi" w:cstheme="majorBidi"/>
          <w:i/>
          <w:iCs/>
          <w:szCs w:val="22"/>
        </w:rPr>
        <w:t>Rubroshorea  curtisii</w:t>
      </w:r>
      <w:r w:rsidRPr="00046607">
        <w:rPr>
          <w:rFonts w:asciiTheme="majorBidi" w:hAnsiTheme="majorBidi" w:cstheme="majorBidi"/>
          <w:szCs w:val="22"/>
        </w:rPr>
        <w:t xml:space="preserve"> in a Lowland Dipterocarp Remnant Forest of Bukit Tiban, Riau Islands, Indonesia”. </w:t>
      </w:r>
      <w:r w:rsidRPr="00046607">
        <w:rPr>
          <w:rFonts w:asciiTheme="majorBidi" w:hAnsiTheme="majorBidi" w:cstheme="majorBidi"/>
          <w:i/>
          <w:iCs/>
          <w:szCs w:val="22"/>
        </w:rPr>
        <w:t>Biodiversitas</w:t>
      </w:r>
      <w:r w:rsidRPr="00046607">
        <w:rPr>
          <w:rFonts w:asciiTheme="majorBidi" w:hAnsiTheme="majorBidi" w:cstheme="majorBidi"/>
          <w:szCs w:val="22"/>
        </w:rPr>
        <w:t xml:space="preserve"> Vol 26, No.9, 2025 </w:t>
      </w:r>
    </w:p>
    <w:p w14:paraId="4AB81BC0" w14:textId="77777777" w:rsidR="00046607" w:rsidRPr="00046607" w:rsidRDefault="009C02BF" w:rsidP="00046607">
      <w:pPr>
        <w:pStyle w:val="ListParagraph"/>
        <w:numPr>
          <w:ilvl w:val="0"/>
          <w:numId w:val="21"/>
        </w:numPr>
        <w:spacing w:after="240"/>
        <w:ind w:left="567" w:hanging="567"/>
        <w:jc w:val="both"/>
        <w:rPr>
          <w:rStyle w:val="Hyperlink"/>
          <w:rFonts w:eastAsia="Times New Roman" w:cs="Times New Roman"/>
          <w:color w:val="auto"/>
          <w:szCs w:val="22"/>
          <w:u w:val="none"/>
        </w:rPr>
      </w:pPr>
      <w:r w:rsidRPr="00046607">
        <w:rPr>
          <w:rFonts w:asciiTheme="majorBidi" w:hAnsiTheme="majorBidi" w:cstheme="majorBidi"/>
          <w:szCs w:val="22"/>
        </w:rPr>
        <w:t xml:space="preserve">Food and Agriculture Organization (FAO). 2023. </w:t>
      </w:r>
      <w:r w:rsidRPr="00046607">
        <w:rPr>
          <w:rStyle w:val="Emphasis"/>
          <w:rFonts w:asciiTheme="majorBidi" w:hAnsiTheme="majorBidi" w:cstheme="majorBidi"/>
          <w:szCs w:val="22"/>
        </w:rPr>
        <w:t>Global Forest Resources Assessment 2025: Terms and Definitions</w:t>
      </w:r>
      <w:r w:rsidRPr="00046607">
        <w:rPr>
          <w:rFonts w:asciiTheme="majorBidi" w:hAnsiTheme="majorBidi" w:cstheme="majorBidi"/>
          <w:szCs w:val="22"/>
        </w:rPr>
        <w:t>. Rome: FAO.</w:t>
      </w:r>
      <w:r w:rsidRPr="00046607">
        <w:rPr>
          <w:rStyle w:val="Hyperlink"/>
          <w:rFonts w:asciiTheme="majorBidi" w:hAnsiTheme="majorBidi" w:cstheme="majorBidi"/>
          <w:color w:val="auto"/>
          <w:szCs w:val="22"/>
        </w:rPr>
        <w:t xml:space="preserve"> </w:t>
      </w:r>
    </w:p>
    <w:p w14:paraId="2A1AB6F8"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S. Nurkholis, Y.Santosa, and I. Hilwan, “Determination of Optimal Sample Plot Dimension for Measuring Species Diversity of Plants in Beach Forest Ecosystem,” </w:t>
      </w:r>
      <w:r w:rsidRPr="00046607">
        <w:rPr>
          <w:rStyle w:val="Emphasis"/>
          <w:rFonts w:asciiTheme="majorBidi" w:hAnsiTheme="majorBidi" w:cstheme="majorBidi"/>
          <w:szCs w:val="22"/>
        </w:rPr>
        <w:t>Jurnal Ilmu Kehutanan</w:t>
      </w:r>
      <w:r w:rsidRPr="00046607">
        <w:rPr>
          <w:rFonts w:asciiTheme="majorBidi" w:hAnsiTheme="majorBidi" w:cstheme="majorBidi"/>
          <w:szCs w:val="22"/>
        </w:rPr>
        <w:t>, vol. 17, no. 1, 2023</w:t>
      </w:r>
    </w:p>
    <w:p w14:paraId="0EC625D0" w14:textId="33863421"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I. Rofifah</w:t>
      </w:r>
      <w:hyperlink r:id="rId19" w:history="1">
        <w:r w:rsidRPr="00046607">
          <w:rPr>
            <w:rStyle w:val="Hyperlink"/>
            <w:rFonts w:asciiTheme="majorBidi" w:hAnsiTheme="majorBidi" w:cstheme="majorBidi"/>
            <w:color w:val="auto"/>
            <w:szCs w:val="22"/>
            <w:u w:val="none"/>
          </w:rPr>
          <w:t xml:space="preserve">, </w:t>
        </w:r>
        <w:r w:rsidRPr="00046607">
          <w:rPr>
            <w:rFonts w:asciiTheme="majorBidi" w:hAnsiTheme="majorBidi" w:cstheme="majorBidi"/>
            <w:szCs w:val="22"/>
          </w:rPr>
          <w:t>Indriyanto</w:t>
        </w:r>
      </w:hyperlink>
      <w:r w:rsidRPr="00046607">
        <w:rPr>
          <w:rFonts w:asciiTheme="majorBidi" w:hAnsiTheme="majorBidi" w:cstheme="majorBidi"/>
          <w:szCs w:val="22"/>
        </w:rPr>
        <w:t xml:space="preserve"> dan </w:t>
      </w:r>
      <w:hyperlink r:id="rId20" w:history="1">
        <w:r w:rsidRPr="00046607">
          <w:rPr>
            <w:rFonts w:asciiTheme="majorBidi" w:hAnsiTheme="majorBidi" w:cstheme="majorBidi"/>
            <w:szCs w:val="22"/>
          </w:rPr>
          <w:t>C. Asmarahman</w:t>
        </w:r>
      </w:hyperlink>
      <w:r w:rsidRPr="00046607">
        <w:rPr>
          <w:rFonts w:asciiTheme="majorBidi" w:hAnsiTheme="majorBidi" w:cstheme="majorBidi"/>
          <w:szCs w:val="22"/>
        </w:rPr>
        <w:t xml:space="preserve">, “Densitas dan Penyebaran </w:t>
      </w:r>
      <w:r w:rsidRPr="00046607">
        <w:rPr>
          <w:rFonts w:asciiTheme="majorBidi" w:hAnsiTheme="majorBidi" w:cstheme="majorBidi"/>
          <w:i/>
          <w:iCs/>
          <w:szCs w:val="22"/>
        </w:rPr>
        <w:t>Ficus Spp</w:t>
      </w:r>
      <w:r w:rsidRPr="00046607">
        <w:rPr>
          <w:rFonts w:asciiTheme="majorBidi" w:hAnsiTheme="majorBidi" w:cstheme="majorBidi"/>
          <w:szCs w:val="22"/>
        </w:rPr>
        <w:t xml:space="preserve">. di Blok Koleksi Tahura Wan Abdul Rachman, Provinsi Lampung”.  </w:t>
      </w:r>
      <w:r w:rsidRPr="00046607">
        <w:rPr>
          <w:rFonts w:asciiTheme="majorBidi" w:hAnsiTheme="majorBidi" w:cstheme="majorBidi"/>
          <w:i/>
          <w:iCs/>
          <w:szCs w:val="22"/>
        </w:rPr>
        <w:t>Celebica Jurnal Kehutanan Indonesia</w:t>
      </w:r>
      <w:r w:rsidRPr="00046607">
        <w:rPr>
          <w:rFonts w:asciiTheme="majorBidi" w:hAnsiTheme="majorBidi" w:cstheme="majorBidi"/>
          <w:szCs w:val="22"/>
        </w:rPr>
        <w:t xml:space="preserve"> Vol. 5 No. 1,  2024</w:t>
      </w:r>
      <w:r w:rsidR="00046607">
        <w:rPr>
          <w:rFonts w:asciiTheme="majorBidi" w:hAnsiTheme="majorBidi" w:cstheme="majorBidi"/>
          <w:szCs w:val="22"/>
        </w:rPr>
        <w:t>.</w:t>
      </w:r>
    </w:p>
    <w:p w14:paraId="12330B45"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Aye, Tin Hnaung, Shibata, Shozo, Vegetation Structure and Tree Species Diversity inside and outside a Newly Established Zalon Taung National Park in Northwest Myanmar, </w:t>
      </w:r>
      <w:r w:rsidRPr="00046607">
        <w:rPr>
          <w:rFonts w:asciiTheme="majorBidi" w:hAnsiTheme="majorBidi" w:cstheme="majorBidi"/>
          <w:i/>
          <w:iCs/>
          <w:szCs w:val="22"/>
        </w:rPr>
        <w:t>International Journal of Forestry Research</w:t>
      </w:r>
      <w:r w:rsidRPr="00046607">
        <w:rPr>
          <w:rFonts w:asciiTheme="majorBidi" w:hAnsiTheme="majorBidi" w:cstheme="majorBidi"/>
          <w:szCs w:val="22"/>
        </w:rPr>
        <w:t xml:space="preserve">, 2023, 8409374, 18 pages, 2023. </w:t>
      </w:r>
      <w:hyperlink r:id="rId21" w:history="1">
        <w:r w:rsidRPr="00046607">
          <w:rPr>
            <w:rStyle w:val="Hyperlink"/>
            <w:rFonts w:asciiTheme="majorBidi" w:hAnsiTheme="majorBidi" w:cstheme="majorBidi"/>
            <w:color w:val="auto"/>
            <w:szCs w:val="22"/>
          </w:rPr>
          <w:t>https://doi.org/10.1155/2023/8409374</w:t>
        </w:r>
      </w:hyperlink>
    </w:p>
    <w:p w14:paraId="7839F628"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E. P. Odum, Ecology and Our Endangered Life-Support Systems, 2nd ed. Sunderland, MA, USA: Sinauer Associates, 1994.</w:t>
      </w:r>
    </w:p>
    <w:p w14:paraId="075441A3"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hyperlink r:id="rId22" w:tgtFrame="_blank" w:history="1">
        <w:r w:rsidRPr="00046607">
          <w:rPr>
            <w:rStyle w:val="Hyperlink"/>
            <w:rFonts w:asciiTheme="majorBidi" w:hAnsiTheme="majorBidi" w:cstheme="majorBidi"/>
            <w:color w:val="auto"/>
            <w:szCs w:val="22"/>
            <w:u w:val="none"/>
          </w:rPr>
          <w:t>BPS-Statistics Batam Municipality. Batam Municipality in Figures 2025</w:t>
        </w:r>
      </w:hyperlink>
    </w:p>
    <w:p w14:paraId="3F3D2164" w14:textId="02D781C8"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M.J Siregar and A Nugroho, A.</w:t>
      </w:r>
      <w:r w:rsidRPr="00046607">
        <w:rPr>
          <w:rFonts w:asciiTheme="majorBidi" w:hAnsiTheme="majorBidi" w:cstheme="majorBidi"/>
          <w:b/>
          <w:bCs/>
          <w:szCs w:val="22"/>
        </w:rPr>
        <w:t xml:space="preserve"> </w:t>
      </w:r>
      <w:r w:rsidRPr="00046607">
        <w:rPr>
          <w:rStyle w:val="Strong"/>
          <w:rFonts w:asciiTheme="majorBidi" w:hAnsiTheme="majorBidi" w:cstheme="majorBidi"/>
          <w:b w:val="0"/>
          <w:bCs w:val="0"/>
          <w:szCs w:val="22"/>
        </w:rPr>
        <w:t>Aplikasi pupuk kandang pada tanah merah (Ultisol soil) di lahan pertanian Batam, Kepulauan Riau.</w:t>
      </w:r>
      <w:r w:rsidRPr="00046607">
        <w:rPr>
          <w:rFonts w:asciiTheme="majorBidi" w:hAnsiTheme="majorBidi" w:cstheme="majorBidi"/>
          <w:b/>
          <w:bCs/>
          <w:szCs w:val="22"/>
        </w:rPr>
        <w:t xml:space="preserve"> </w:t>
      </w:r>
      <w:r w:rsidRPr="00046607">
        <w:rPr>
          <w:rStyle w:val="Emphasis"/>
          <w:rFonts w:asciiTheme="majorBidi" w:hAnsiTheme="majorBidi" w:cstheme="majorBidi"/>
          <w:szCs w:val="22"/>
        </w:rPr>
        <w:t>Jurnal Serambi Engineering</w:t>
      </w:r>
      <w:r w:rsidRPr="00046607">
        <w:rPr>
          <w:rFonts w:asciiTheme="majorBidi" w:hAnsiTheme="majorBidi" w:cstheme="majorBidi"/>
          <w:szCs w:val="22"/>
        </w:rPr>
        <w:t>. 2024</w:t>
      </w:r>
    </w:p>
    <w:p w14:paraId="0D5E713B"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M. F. Newman, P. F. Burgess, and T. C. Whitmore, Manuals of Dipterocarps for Foresters: Java to New Guinea. Edinburgh, U.K.: Royal Botanic Garden Edinburgh and CIFOR, 1998.</w:t>
      </w:r>
    </w:p>
    <w:p w14:paraId="1B6D6375"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R. U. Fahmi, S. Rasnovi, and E. Harnelly, “Diversity and population structure of Dipterocarpaceae species in Weh Island Nature Tourism Park, Indonesia,” </w:t>
      </w:r>
      <w:r w:rsidRPr="00046607">
        <w:rPr>
          <w:rFonts w:asciiTheme="majorBidi" w:eastAsia="Times New Roman" w:hAnsiTheme="majorBidi" w:cstheme="majorBidi"/>
          <w:i/>
          <w:iCs/>
          <w:szCs w:val="22"/>
        </w:rPr>
        <w:t>Jurnal Natural</w:t>
      </w:r>
      <w:r w:rsidRPr="00046607">
        <w:rPr>
          <w:rFonts w:asciiTheme="majorBidi" w:eastAsia="Times New Roman" w:hAnsiTheme="majorBidi" w:cstheme="majorBidi"/>
          <w:szCs w:val="22"/>
        </w:rPr>
        <w:t>, Vol. 21, No. 2, pp. 99–104, 2021.</w:t>
      </w:r>
    </w:p>
    <w:p w14:paraId="2EAA730B"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S. Paramitha, R. A. Suswono, Lasmito, I. Setyasih, Ariyanto, R. Mulyadi, and Y. B. Sulistioadi, “Vegetation diversity of Hemaq Beniung Customary Forest, West Kutai, East Kalimantan,” </w:t>
      </w:r>
      <w:r w:rsidRPr="00046607">
        <w:rPr>
          <w:rFonts w:asciiTheme="majorBidi" w:eastAsia="Times New Roman" w:hAnsiTheme="majorBidi" w:cstheme="majorBidi"/>
          <w:i/>
          <w:iCs/>
          <w:szCs w:val="22"/>
        </w:rPr>
        <w:t>Jurnal Penelitian Kehutanan Wallacea</w:t>
      </w:r>
      <w:r w:rsidRPr="00046607">
        <w:rPr>
          <w:rFonts w:asciiTheme="majorBidi" w:eastAsia="Times New Roman" w:hAnsiTheme="majorBidi" w:cstheme="majorBidi"/>
          <w:szCs w:val="22"/>
        </w:rPr>
        <w:t>, Vol. 11, No. 2, pp. 111–123, 2022.</w:t>
      </w:r>
    </w:p>
    <w:p w14:paraId="4151EE1A"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T. L. Dong, C. L. Beadle, R. Doyle, and D. Worledge, “Site conditions for regeneration of Hopea odorata in natural evergreen dipterocarp forest in Southern Vietnam,” </w:t>
      </w:r>
      <w:r w:rsidRPr="00046607">
        <w:rPr>
          <w:rFonts w:asciiTheme="majorBidi" w:eastAsia="Times New Roman" w:hAnsiTheme="majorBidi" w:cstheme="majorBidi"/>
          <w:i/>
          <w:iCs/>
          <w:szCs w:val="22"/>
        </w:rPr>
        <w:t>Journal of Tropical Forest Science</w:t>
      </w:r>
      <w:r w:rsidRPr="00046607">
        <w:rPr>
          <w:rFonts w:asciiTheme="majorBidi" w:eastAsia="Times New Roman" w:hAnsiTheme="majorBidi" w:cstheme="majorBidi"/>
          <w:szCs w:val="22"/>
        </w:rPr>
        <w:t>, Vol. 26, No. 4, pp. 532–542, 2014.</w:t>
      </w:r>
    </w:p>
    <w:p w14:paraId="04043A2C" w14:textId="36E7E32D"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BA. Margono, P.V. Potapov,  S. Turubanova, </w:t>
      </w:r>
      <w:hyperlink r:id="rId23" w:anchor="auth-Fred-Stolle-Aff3" w:history="1">
        <w:r w:rsidRPr="00046607">
          <w:rPr>
            <w:rStyle w:val="Hyperlink"/>
            <w:rFonts w:asciiTheme="majorBidi" w:hAnsiTheme="majorBidi" w:cstheme="majorBidi"/>
            <w:color w:val="auto"/>
            <w:szCs w:val="22"/>
          </w:rPr>
          <w:t>F Stolle</w:t>
        </w:r>
      </w:hyperlink>
      <w:r w:rsidRPr="00046607">
        <w:rPr>
          <w:rFonts w:asciiTheme="majorBidi" w:hAnsiTheme="majorBidi" w:cstheme="majorBidi"/>
          <w:szCs w:val="22"/>
        </w:rPr>
        <w:t xml:space="preserve"> and   </w:t>
      </w:r>
      <w:hyperlink r:id="rId24" w:anchor="auth-Matthew_C_-Hansen-Aff1" w:history="1">
        <w:r w:rsidRPr="00046607">
          <w:rPr>
            <w:rStyle w:val="Hyperlink"/>
            <w:rFonts w:asciiTheme="majorBidi" w:hAnsiTheme="majorBidi" w:cstheme="majorBidi"/>
            <w:color w:val="auto"/>
            <w:szCs w:val="22"/>
          </w:rPr>
          <w:t>M. C. Hansen</w:t>
        </w:r>
      </w:hyperlink>
      <w:r w:rsidRPr="00046607">
        <w:rPr>
          <w:rFonts w:asciiTheme="majorBidi" w:hAnsiTheme="majorBidi" w:cstheme="majorBidi"/>
          <w:szCs w:val="22"/>
        </w:rPr>
        <w:t xml:space="preserve">. Primary forest cover loss in Indonesia over 2000–2012. </w:t>
      </w:r>
      <w:r w:rsidRPr="00046607">
        <w:rPr>
          <w:rFonts w:asciiTheme="majorBidi" w:hAnsiTheme="majorBidi" w:cstheme="majorBidi"/>
          <w:i/>
          <w:iCs/>
          <w:szCs w:val="22"/>
        </w:rPr>
        <w:t>Nature Clim Change</w:t>
      </w:r>
      <w:r w:rsidRPr="00046607">
        <w:rPr>
          <w:rFonts w:asciiTheme="majorBidi" w:hAnsiTheme="majorBidi" w:cstheme="majorBidi"/>
          <w:szCs w:val="22"/>
        </w:rPr>
        <w:t xml:space="preserve"> 4, 730–735 (2014). </w:t>
      </w:r>
      <w:hyperlink r:id="rId25" w:history="1">
        <w:r w:rsidRPr="00046607">
          <w:rPr>
            <w:rStyle w:val="Hyperlink"/>
            <w:rFonts w:asciiTheme="majorBidi" w:hAnsiTheme="majorBidi" w:cstheme="majorBidi"/>
            <w:color w:val="auto"/>
            <w:szCs w:val="22"/>
          </w:rPr>
          <w:t>https://doi.org/10.1038/nclimate2277</w:t>
        </w:r>
      </w:hyperlink>
    </w:p>
    <w:p w14:paraId="60D08674" w14:textId="209A8A2F"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J. S. Denslow, A. M. Ellison, and R. E. Sanford, “Treefall gap size effects on above and below ground processes in a tropical wet forest,” </w:t>
      </w:r>
      <w:r w:rsidRPr="00046607">
        <w:rPr>
          <w:rFonts w:asciiTheme="majorBidi" w:eastAsia="Times New Roman" w:hAnsiTheme="majorBidi" w:cstheme="majorBidi"/>
          <w:i/>
          <w:iCs/>
          <w:szCs w:val="22"/>
        </w:rPr>
        <w:t>Journal of Ecology</w:t>
      </w:r>
      <w:r w:rsidRPr="00046607">
        <w:rPr>
          <w:rFonts w:asciiTheme="majorBidi" w:eastAsia="Times New Roman" w:hAnsiTheme="majorBidi" w:cstheme="majorBidi"/>
          <w:szCs w:val="22"/>
        </w:rPr>
        <w:t>, Vol. 86, No. 4, pp. 597–609, 1998.</w:t>
      </w:r>
    </w:p>
    <w:p w14:paraId="29EEE4C4"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H. M. EL-Taguri and A. Latiff, “Ecology and distribution of </w:t>
      </w:r>
      <w:r w:rsidRPr="00046607">
        <w:rPr>
          <w:rFonts w:asciiTheme="majorBidi" w:eastAsia="Times New Roman" w:hAnsiTheme="majorBidi" w:cstheme="majorBidi"/>
          <w:i/>
          <w:iCs/>
          <w:szCs w:val="22"/>
        </w:rPr>
        <w:t>Vatica L</w:t>
      </w:r>
      <w:r w:rsidRPr="00046607">
        <w:rPr>
          <w:rFonts w:asciiTheme="majorBidi" w:eastAsia="Times New Roman" w:hAnsiTheme="majorBidi" w:cstheme="majorBidi"/>
          <w:szCs w:val="22"/>
        </w:rPr>
        <w:t xml:space="preserve">. (Dipterocarpaceae) in Peninsular Malaysia,” </w:t>
      </w:r>
      <w:r w:rsidRPr="00046607">
        <w:rPr>
          <w:rFonts w:asciiTheme="majorBidi" w:eastAsia="Times New Roman" w:hAnsiTheme="majorBidi" w:cstheme="majorBidi"/>
          <w:i/>
          <w:iCs/>
          <w:szCs w:val="22"/>
        </w:rPr>
        <w:t>Malayan Nature Journal</w:t>
      </w:r>
      <w:r w:rsidRPr="00046607">
        <w:rPr>
          <w:rFonts w:asciiTheme="majorBidi" w:eastAsia="Times New Roman" w:hAnsiTheme="majorBidi" w:cstheme="majorBidi"/>
          <w:szCs w:val="22"/>
        </w:rPr>
        <w:t>, Vol. 68, No. 3, pp. 5–11, 2016.</w:t>
      </w:r>
    </w:p>
    <w:p w14:paraId="49C1C82F"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lastRenderedPageBreak/>
        <w:t xml:space="preserve">M Novianti,. S. Anwari, and R. S. Wulandari, “Keanekaragaman Vegetasi di Hutan Lindung Gunung Semahung Desa Saham Kecamatan Sengah Temila Kabupaten Landak,” </w:t>
      </w:r>
      <w:r w:rsidRPr="00046607">
        <w:rPr>
          <w:rFonts w:asciiTheme="majorBidi" w:eastAsia="Times New Roman" w:hAnsiTheme="majorBidi" w:cstheme="majorBidi"/>
          <w:i/>
          <w:iCs/>
          <w:szCs w:val="22"/>
        </w:rPr>
        <w:t>Hutan Lestari</w:t>
      </w:r>
      <w:r w:rsidRPr="00046607">
        <w:rPr>
          <w:rFonts w:asciiTheme="majorBidi" w:eastAsia="Times New Roman" w:hAnsiTheme="majorBidi" w:cstheme="majorBidi"/>
          <w:szCs w:val="22"/>
        </w:rPr>
        <w:t>, Vol. 5, No. 3, pp. 688–695, 2017.</w:t>
      </w:r>
    </w:p>
    <w:p w14:paraId="08E3B59F" w14:textId="22BB422C"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Samsuri, E. Napitupulu, A.G. Ahmad, A. Zaitunah, “Analysis of tree quality on the green line using google earth in Tanjung Morawa District, Deli Serdang Regency,” </w:t>
      </w:r>
      <w:r w:rsidRPr="00046607">
        <w:rPr>
          <w:rFonts w:asciiTheme="majorBidi" w:hAnsiTheme="majorBidi" w:cstheme="majorBidi"/>
          <w:i/>
          <w:iCs/>
          <w:szCs w:val="22"/>
        </w:rPr>
        <w:t>Global Forest Journal</w:t>
      </w:r>
      <w:r w:rsidRPr="00046607">
        <w:rPr>
          <w:rFonts w:asciiTheme="majorBidi" w:hAnsiTheme="majorBidi" w:cstheme="majorBidi"/>
          <w:szCs w:val="22"/>
        </w:rPr>
        <w:t>, Vol. 01, No. 01, July 2023</w:t>
      </w:r>
      <w:r w:rsidR="00046607">
        <w:rPr>
          <w:rFonts w:asciiTheme="majorBidi" w:hAnsiTheme="majorBidi" w:cstheme="majorBidi"/>
          <w:szCs w:val="22"/>
        </w:rPr>
        <w:t>.</w:t>
      </w:r>
    </w:p>
    <w:p w14:paraId="40A16D17"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A. Firdamayanti, F. Alawy, C. Saifimar, A. Galingging, K. Wijaya, and H. H. Rachmat, “Fragmented forests in highly industrialized Batam Island, Indonesia: A vital pocket for biodiversity conservation of </w:t>
      </w:r>
      <w:r w:rsidRPr="00046607">
        <w:rPr>
          <w:rFonts w:asciiTheme="majorBidi" w:eastAsia="Times New Roman" w:hAnsiTheme="majorBidi" w:cstheme="majorBidi"/>
          <w:i/>
          <w:iCs/>
          <w:szCs w:val="22"/>
        </w:rPr>
        <w:t>Rubroshorea curtisii</w:t>
      </w:r>
      <w:r w:rsidRPr="00046607">
        <w:rPr>
          <w:rFonts w:asciiTheme="majorBidi" w:eastAsia="Times New Roman" w:hAnsiTheme="majorBidi" w:cstheme="majorBidi"/>
          <w:szCs w:val="22"/>
        </w:rPr>
        <w:t xml:space="preserve"> (Dipterocarpaceae),” IOP Conference Series: Earth and Environmental Science, Vol. 1433, No. 1, 2024.</w:t>
      </w:r>
    </w:p>
    <w:p w14:paraId="1603F852"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Z. Nor Farika, S. Mohd Nazip, and K. Fairuz, “Floristic Composition and Diversity in Lowland Dipterocarp and Riparian Forests of Taman Negara Pahang,” in IEEE Symposium on Humanities, Science and Engineering Research (SHUSER), 2013, pp. 696–699.</w:t>
      </w:r>
    </w:p>
    <w:p w14:paraId="7F26B206"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W. C. Adinugroho, L. B. Prasetyo, C. Kusmana, H. Krisnawati, C. J. Weston, and L. Volkova, “Recovery of Carbon and Vegetation Diversity 23 Years after Fire in a Tropical Dryland Forest of Indonesia,” </w:t>
      </w:r>
      <w:r w:rsidRPr="00046607">
        <w:rPr>
          <w:rFonts w:asciiTheme="majorBidi" w:eastAsia="Times New Roman" w:hAnsiTheme="majorBidi" w:cstheme="majorBidi"/>
          <w:i/>
          <w:iCs/>
          <w:szCs w:val="22"/>
        </w:rPr>
        <w:t>Sustainability</w:t>
      </w:r>
      <w:r w:rsidRPr="00046607">
        <w:rPr>
          <w:rFonts w:asciiTheme="majorBidi" w:eastAsia="Times New Roman" w:hAnsiTheme="majorBidi" w:cstheme="majorBidi"/>
          <w:szCs w:val="22"/>
        </w:rPr>
        <w:t>, Vol. 14, No. 12, 2022.</w:t>
      </w:r>
    </w:p>
    <w:p w14:paraId="5657118C"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R. R. Napitupulu, “Persen Hidup Tanaman Pada Area Showing Window Revegetasi Lahan Gambut Bekas Terbakar di HLG Londerang,” </w:t>
      </w:r>
      <w:r w:rsidRPr="00046607">
        <w:rPr>
          <w:rFonts w:asciiTheme="majorBidi" w:eastAsia="Times New Roman" w:hAnsiTheme="majorBidi" w:cstheme="majorBidi"/>
          <w:i/>
          <w:iCs/>
          <w:szCs w:val="22"/>
        </w:rPr>
        <w:t>Jurnal Silva Tropika</w:t>
      </w:r>
      <w:r w:rsidRPr="00046607">
        <w:rPr>
          <w:rFonts w:asciiTheme="majorBidi" w:eastAsia="Times New Roman" w:hAnsiTheme="majorBidi" w:cstheme="majorBidi"/>
          <w:szCs w:val="22"/>
        </w:rPr>
        <w:t>, Vol. 6, No. 2, pp. 86–93, 2023.</w:t>
      </w:r>
    </w:p>
    <w:p w14:paraId="7B68BF5C"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A. Susilowati, D. Elfiati, I. M. Ginting, M. I. Rizmi. “Moraceae diversity in the Universitas Sumatera Utara’s arboretum,”</w:t>
      </w:r>
      <w:r w:rsidR="00046607">
        <w:rPr>
          <w:rFonts w:asciiTheme="majorBidi" w:hAnsiTheme="majorBidi" w:cstheme="majorBidi"/>
          <w:szCs w:val="22"/>
        </w:rPr>
        <w:t xml:space="preserve"> </w:t>
      </w:r>
      <w:r w:rsidRPr="00046607">
        <w:rPr>
          <w:rFonts w:asciiTheme="majorBidi" w:hAnsiTheme="majorBidi" w:cstheme="majorBidi"/>
          <w:i/>
          <w:iCs/>
          <w:szCs w:val="22"/>
        </w:rPr>
        <w:t>Global Forest Journal</w:t>
      </w:r>
      <w:r w:rsidRPr="00046607">
        <w:rPr>
          <w:rFonts w:asciiTheme="majorBidi" w:hAnsiTheme="majorBidi" w:cstheme="majorBidi"/>
          <w:szCs w:val="22"/>
        </w:rPr>
        <w:t>, Vol.02, No. 02, July 2024</w:t>
      </w:r>
      <w:r w:rsidR="00046607">
        <w:rPr>
          <w:rFonts w:asciiTheme="majorBidi" w:hAnsiTheme="majorBidi" w:cstheme="majorBidi"/>
          <w:szCs w:val="22"/>
        </w:rPr>
        <w:t>.</w:t>
      </w:r>
    </w:p>
    <w:p w14:paraId="4834ED3C" w14:textId="77777777" w:rsidR="00046607"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eastAsia="Times New Roman" w:hAnsiTheme="majorBidi" w:cstheme="majorBidi"/>
          <w:szCs w:val="22"/>
        </w:rPr>
        <w:t xml:space="preserve">D. Nurjaman, J. Kusmoro, and P. Santoso, “Perbandingan Struktur dan Komposisi Vegetasi Kawasan Rajamantri dan Batumeja Cagar Alam Pananjung Pangandaran, Jawa Barat,” </w:t>
      </w:r>
      <w:r w:rsidRPr="00046607">
        <w:rPr>
          <w:rFonts w:asciiTheme="majorBidi" w:eastAsia="Times New Roman" w:hAnsiTheme="majorBidi" w:cstheme="majorBidi"/>
          <w:i/>
          <w:iCs/>
          <w:szCs w:val="22"/>
        </w:rPr>
        <w:t>Jurnal Biodjati</w:t>
      </w:r>
      <w:r w:rsidRPr="00046607">
        <w:rPr>
          <w:rFonts w:asciiTheme="majorBidi" w:eastAsia="Times New Roman" w:hAnsiTheme="majorBidi" w:cstheme="majorBidi"/>
          <w:szCs w:val="22"/>
        </w:rPr>
        <w:t>, Vol. 2, No. 2, pp. 167–178, 2017.</w:t>
      </w:r>
    </w:p>
    <w:p w14:paraId="5073C985" w14:textId="17CA553E" w:rsidR="00E4081C" w:rsidRPr="00046607" w:rsidRDefault="009C02BF" w:rsidP="00046607">
      <w:pPr>
        <w:pStyle w:val="ListParagraph"/>
        <w:numPr>
          <w:ilvl w:val="0"/>
          <w:numId w:val="21"/>
        </w:numPr>
        <w:spacing w:after="240"/>
        <w:ind w:left="567" w:hanging="567"/>
        <w:jc w:val="both"/>
        <w:rPr>
          <w:rFonts w:eastAsia="Times New Roman" w:cs="Times New Roman"/>
          <w:szCs w:val="22"/>
        </w:rPr>
      </w:pPr>
      <w:r w:rsidRPr="00046607">
        <w:rPr>
          <w:rFonts w:asciiTheme="majorBidi" w:hAnsiTheme="majorBidi" w:cstheme="majorBidi"/>
          <w:szCs w:val="22"/>
        </w:rPr>
        <w:t xml:space="preserve">Istomo, I. and Sari, P.N. “Penyebaran Dan Karakteristik Habitat Jenis Rasamala (Altingia excelsa Noronha) di Taman Nasional Gunung Halimun Salak”, </w:t>
      </w:r>
      <w:r w:rsidRPr="00046607">
        <w:rPr>
          <w:rFonts w:asciiTheme="majorBidi" w:hAnsiTheme="majorBidi" w:cstheme="majorBidi"/>
          <w:i/>
          <w:iCs/>
          <w:szCs w:val="22"/>
        </w:rPr>
        <w:t>Jurnal Pengelolaan Sumberdaya Alam dan Lingkungan (Journal of Natural Resources and Environmental Management)</w:t>
      </w:r>
      <w:r w:rsidRPr="00046607">
        <w:rPr>
          <w:rFonts w:asciiTheme="majorBidi" w:hAnsiTheme="majorBidi" w:cstheme="majorBidi"/>
          <w:szCs w:val="22"/>
        </w:rPr>
        <w:t>, Vol. 9 No.3, pp. 608–625, 2019. doi:</w:t>
      </w:r>
      <w:hyperlink r:id="rId26" w:history="1">
        <w:r w:rsidRPr="00046607">
          <w:rPr>
            <w:rStyle w:val="Hyperlink"/>
            <w:rFonts w:asciiTheme="majorBidi" w:hAnsiTheme="majorBidi" w:cstheme="majorBidi"/>
            <w:color w:val="auto"/>
            <w:szCs w:val="22"/>
            <w:u w:val="none"/>
          </w:rPr>
          <w:t>10.29244/jpsl.9.3.608-625</w:t>
        </w:r>
      </w:hyperlink>
      <w:r w:rsidRPr="00046607">
        <w:rPr>
          <w:rFonts w:asciiTheme="majorBidi" w:hAnsiTheme="majorBidi" w:cstheme="majorBidi"/>
          <w:szCs w:val="22"/>
        </w:rPr>
        <w:t>.</w:t>
      </w:r>
    </w:p>
    <w:p w14:paraId="6CBEE2E6" w14:textId="77777777" w:rsidR="00A479CC" w:rsidRPr="00C91408" w:rsidRDefault="00A479CC" w:rsidP="00C91408">
      <w:pPr>
        <w:jc w:val="both"/>
        <w:rPr>
          <w:rFonts w:cs="Times New Roman"/>
          <w:szCs w:val="22"/>
          <w:lang w:val="en-US"/>
        </w:rPr>
      </w:pPr>
    </w:p>
    <w:sectPr w:rsidR="00A479CC" w:rsidRPr="00C91408" w:rsidSect="0028500B">
      <w:headerReference w:type="even" r:id="rId27"/>
      <w:headerReference w:type="default" r:id="rId28"/>
      <w:headerReference w:type="first" r:id="rId29"/>
      <w:pgSz w:w="11906" w:h="16838"/>
      <w:pgMar w:top="1134" w:right="1134" w:bottom="1134" w:left="1134" w:header="448" w:footer="709" w:gutter="0"/>
      <w:pgNumType w:start="1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BD030" w14:textId="77777777" w:rsidR="006C7C09" w:rsidRDefault="006C7C09" w:rsidP="00A479CC">
      <w:r>
        <w:separator/>
      </w:r>
    </w:p>
  </w:endnote>
  <w:endnote w:type="continuationSeparator" w:id="0">
    <w:p w14:paraId="058E814B" w14:textId="77777777" w:rsidR="006C7C09" w:rsidRDefault="006C7C09"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IPPN M+ Gulliver">
    <w:altName w:val="Cambria"/>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Microsoft Sans Serif"/>
    <w:charset w:val="00"/>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6739" w14:textId="77777777" w:rsidR="006C7C09" w:rsidRDefault="006C7C09" w:rsidP="00A479CC">
      <w:r>
        <w:separator/>
      </w:r>
    </w:p>
  </w:footnote>
  <w:footnote w:type="continuationSeparator" w:id="0">
    <w:p w14:paraId="47AA8F91" w14:textId="77777777" w:rsidR="006C7C09" w:rsidRDefault="006C7C09"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75860"/>
      <w:docPartObj>
        <w:docPartGallery w:val="Page Numbers (Top of Page)"/>
        <w:docPartUnique/>
      </w:docPartObj>
    </w:sdtPr>
    <w:sdtContent>
      <w:p w14:paraId="0ACE66E5" w14:textId="42BC1953" w:rsidR="00F125B8" w:rsidRDefault="00F125B8" w:rsidP="004E33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39BB2C" w14:textId="77777777" w:rsidR="00F125B8" w:rsidRDefault="00F125B8" w:rsidP="007B4D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Times New Roman"/>
        <w:sz w:val="20"/>
        <w:szCs w:val="20"/>
      </w:rPr>
      <w:id w:val="-1680882874"/>
      <w:docPartObj>
        <w:docPartGallery w:val="Page Numbers (Top of Page)"/>
        <w:docPartUnique/>
      </w:docPartObj>
    </w:sdtPr>
    <w:sdtContent>
      <w:p w14:paraId="384E97A3" w14:textId="0C51F279" w:rsidR="00F125B8" w:rsidRPr="007B4D60" w:rsidRDefault="00F125B8" w:rsidP="004E3318">
        <w:pPr>
          <w:pStyle w:val="Header"/>
          <w:framePr w:wrap="none" w:vAnchor="text" w:hAnchor="margin" w:xAlign="right" w:y="1"/>
          <w:rPr>
            <w:rStyle w:val="PageNumber"/>
            <w:rFonts w:cs="Times New Roman"/>
            <w:sz w:val="20"/>
            <w:szCs w:val="20"/>
          </w:rPr>
        </w:pPr>
        <w:r w:rsidRPr="007B4D60">
          <w:rPr>
            <w:rStyle w:val="PageNumber"/>
            <w:rFonts w:cs="Times New Roman"/>
            <w:sz w:val="20"/>
            <w:szCs w:val="20"/>
          </w:rPr>
          <w:fldChar w:fldCharType="begin"/>
        </w:r>
        <w:r w:rsidRPr="007B4D60">
          <w:rPr>
            <w:rStyle w:val="PageNumber"/>
            <w:rFonts w:cs="Times New Roman"/>
            <w:sz w:val="20"/>
            <w:szCs w:val="20"/>
          </w:rPr>
          <w:instrText xml:space="preserve"> PAGE </w:instrText>
        </w:r>
        <w:r w:rsidRPr="007B4D60">
          <w:rPr>
            <w:rStyle w:val="PageNumber"/>
            <w:rFonts w:cs="Times New Roman"/>
            <w:sz w:val="20"/>
            <w:szCs w:val="20"/>
          </w:rPr>
          <w:fldChar w:fldCharType="separate"/>
        </w:r>
        <w:r w:rsidR="003F7981">
          <w:rPr>
            <w:rStyle w:val="PageNumber"/>
            <w:rFonts w:cs="Times New Roman"/>
            <w:noProof/>
            <w:sz w:val="20"/>
            <w:szCs w:val="20"/>
          </w:rPr>
          <w:t>12</w:t>
        </w:r>
        <w:r w:rsidRPr="007B4D60">
          <w:rPr>
            <w:rStyle w:val="PageNumber"/>
            <w:rFonts w:cs="Times New Roman"/>
            <w:sz w:val="20"/>
            <w:szCs w:val="20"/>
          </w:rPr>
          <w:fldChar w:fldCharType="end"/>
        </w:r>
      </w:p>
    </w:sdtContent>
  </w:sdt>
  <w:p w14:paraId="710DA104" w14:textId="308885A4" w:rsidR="00F125B8" w:rsidRPr="007B4D60" w:rsidRDefault="00F125B8" w:rsidP="007B4D60">
    <w:pPr>
      <w:pStyle w:val="Default"/>
      <w:ind w:right="360"/>
      <w:jc w:val="center"/>
      <w:rPr>
        <w:rFonts w:ascii="Times New Roman" w:hAnsi="Times New Roman" w:cs="Times New Roman"/>
        <w:i/>
        <w:sz w:val="20"/>
        <w:szCs w:val="20"/>
      </w:rPr>
    </w:pPr>
    <w:r>
      <w:rPr>
        <w:rFonts w:ascii="Times New Roman" w:hAnsi="Times New Roman" w:cs="Times New Roman"/>
        <w:i/>
        <w:sz w:val="20"/>
        <w:szCs w:val="20"/>
      </w:rPr>
      <w:t xml:space="preserve">Global Forest Journal Vol. </w:t>
    </w:r>
    <w:r w:rsidR="00B31E57">
      <w:rPr>
        <w:rFonts w:ascii="Times New Roman" w:hAnsi="Times New Roman" w:cs="Times New Roman"/>
        <w:i/>
        <w:sz w:val="20"/>
        <w:szCs w:val="20"/>
      </w:rPr>
      <w:t>04</w:t>
    </w:r>
    <w:r w:rsidRPr="00420809">
      <w:rPr>
        <w:rFonts w:ascii="Times New Roman" w:hAnsi="Times New Roman" w:cs="Times New Roman"/>
        <w:i/>
        <w:sz w:val="20"/>
        <w:szCs w:val="20"/>
      </w:rPr>
      <w:t>, No.</w:t>
    </w:r>
    <w:r>
      <w:rPr>
        <w:rFonts w:ascii="Times New Roman" w:hAnsi="Times New Roman" w:cs="Times New Roman"/>
        <w:i/>
        <w:sz w:val="20"/>
        <w:szCs w:val="20"/>
        <w:lang w:val="id-ID"/>
      </w:rPr>
      <w:t xml:space="preserve"> </w:t>
    </w:r>
    <w:r w:rsidR="00B31E57">
      <w:rPr>
        <w:rFonts w:ascii="Times New Roman" w:hAnsi="Times New Roman" w:cs="Times New Roman"/>
        <w:i/>
        <w:sz w:val="20"/>
        <w:szCs w:val="20"/>
      </w:rPr>
      <w:t>02</w:t>
    </w:r>
    <w:r>
      <w:rPr>
        <w:rFonts w:ascii="Times New Roman" w:hAnsi="Times New Roman" w:cs="Times New Roman"/>
        <w:i/>
        <w:sz w:val="20"/>
        <w:szCs w:val="20"/>
      </w:rPr>
      <w:t xml:space="preserve"> (2026</w:t>
    </w:r>
    <w:r w:rsidRPr="00420809">
      <w:rPr>
        <w:rFonts w:ascii="Times New Roman" w:hAnsi="Times New Roman" w:cs="Times New Roman"/>
        <w:i/>
        <w:sz w:val="20"/>
        <w:szCs w:val="20"/>
      </w:rPr>
      <w:t xml:space="preserve">) </w:t>
    </w:r>
    <w:r w:rsidR="00B31E57">
      <w:rPr>
        <w:rFonts w:ascii="Times New Roman" w:hAnsi="Times New Roman" w:cs="Times New Roman"/>
        <w:i/>
        <w:sz w:val="20"/>
        <w:szCs w:val="20"/>
      </w:rPr>
      <w:t>161</w:t>
    </w:r>
    <w:r w:rsidRPr="00420809">
      <w:rPr>
        <w:rFonts w:ascii="Times New Roman" w:hAnsi="Times New Roman" w:cs="Times New Roman"/>
        <w:i/>
        <w:sz w:val="20"/>
        <w:szCs w:val="20"/>
      </w:rPr>
      <w:t>–</w:t>
    </w:r>
    <w:r w:rsidR="00B31E57">
      <w:rPr>
        <w:rFonts w:ascii="Times New Roman" w:hAnsi="Times New Roman" w:cs="Times New Roman"/>
        <w:i/>
        <w:sz w:val="20"/>
        <w:szCs w:val="20"/>
      </w:rPr>
      <w:t>173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48D4" w14:textId="0A97E34A" w:rsidR="00F125B8" w:rsidRPr="00A479CC" w:rsidRDefault="00F125B8" w:rsidP="007B4D60">
    <w:pPr>
      <w:pStyle w:val="Default"/>
      <w:jc w:val="center"/>
      <w:rPr>
        <w:rFonts w:ascii="Times New Roman" w:hAnsi="Times New Roman" w:cs="Times New Roman"/>
        <w:i/>
        <w:sz w:val="21"/>
        <w:szCs w:val="21"/>
      </w:rPr>
    </w:pPr>
    <w:r>
      <w:rPr>
        <w:rFonts w:ascii="Times New Roman" w:hAnsi="Times New Roman" w:cs="Times New Roman"/>
        <w:i/>
        <w:sz w:val="21"/>
        <w:szCs w:val="13"/>
      </w:rPr>
      <w:t>Global Forest Journal Vol.</w:t>
    </w:r>
    <w:r w:rsidR="005F4955">
      <w:rPr>
        <w:rFonts w:ascii="Times New Roman" w:hAnsi="Times New Roman" w:cs="Times New Roman"/>
        <w:i/>
        <w:sz w:val="21"/>
        <w:szCs w:val="13"/>
      </w:rPr>
      <w:t>04</w:t>
    </w:r>
    <w:r>
      <w:rPr>
        <w:rFonts w:ascii="Times New Roman" w:hAnsi="Times New Roman" w:cs="Times New Roman"/>
        <w:i/>
        <w:sz w:val="21"/>
        <w:szCs w:val="13"/>
      </w:rPr>
      <w:t>, No.</w:t>
    </w:r>
    <w:r w:rsidR="005F4955">
      <w:rPr>
        <w:rFonts w:ascii="Times New Roman" w:hAnsi="Times New Roman" w:cs="Times New Roman"/>
        <w:i/>
        <w:sz w:val="21"/>
        <w:szCs w:val="13"/>
      </w:rPr>
      <w:t>02</w:t>
    </w:r>
    <w:r>
      <w:rPr>
        <w:rFonts w:ascii="Times New Roman" w:hAnsi="Times New Roman" w:cs="Times New Roman"/>
        <w:i/>
        <w:sz w:val="21"/>
        <w:szCs w:val="13"/>
      </w:rPr>
      <w:t xml:space="preserve"> (2026</w:t>
    </w:r>
    <w:r w:rsidRPr="00A479CC">
      <w:rPr>
        <w:rFonts w:ascii="Times New Roman" w:hAnsi="Times New Roman" w:cs="Times New Roman"/>
        <w:i/>
        <w:sz w:val="21"/>
        <w:szCs w:val="13"/>
      </w:rPr>
      <w:t xml:space="preserve">) </w:t>
    </w:r>
    <w:r w:rsidR="0028500B">
      <w:rPr>
        <w:rFonts w:ascii="Times New Roman" w:hAnsi="Times New Roman" w:cs="Times New Roman"/>
        <w:i/>
        <w:sz w:val="21"/>
        <w:szCs w:val="13"/>
      </w:rPr>
      <w:t>161</w:t>
    </w:r>
    <w:r w:rsidRPr="00A479CC">
      <w:rPr>
        <w:rFonts w:ascii="Times New Roman" w:hAnsi="Times New Roman" w:cs="Times New Roman"/>
        <w:i/>
        <w:sz w:val="21"/>
        <w:szCs w:val="13"/>
      </w:rPr>
      <w:t>–</w:t>
    </w:r>
    <w:r w:rsidR="0028500B">
      <w:rPr>
        <w:rFonts w:ascii="Times New Roman" w:hAnsi="Times New Roman" w:cs="Times New Roman"/>
        <w:i/>
        <w:sz w:val="21"/>
        <w:szCs w:val="13"/>
      </w:rPr>
      <w:t>173</w:t>
    </w:r>
  </w:p>
  <w:p w14:paraId="6E4C0E66" w14:textId="77777777" w:rsidR="00F125B8" w:rsidRDefault="00F12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5100"/>
    <w:multiLevelType w:val="hybridMultilevel"/>
    <w:tmpl w:val="8A2886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EE5207"/>
    <w:multiLevelType w:val="hybridMultilevel"/>
    <w:tmpl w:val="34980DD4"/>
    <w:lvl w:ilvl="0" w:tplc="A2004C24">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16474A"/>
    <w:multiLevelType w:val="hybridMultilevel"/>
    <w:tmpl w:val="0FB4ED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A24CAC"/>
    <w:multiLevelType w:val="hybridMultilevel"/>
    <w:tmpl w:val="81AC35AE"/>
    <w:lvl w:ilvl="0" w:tplc="7248CF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293B69B5"/>
    <w:multiLevelType w:val="hybridMultilevel"/>
    <w:tmpl w:val="0BBC91E4"/>
    <w:lvl w:ilvl="0" w:tplc="A2004C24">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A6065A"/>
    <w:multiLevelType w:val="hybridMultilevel"/>
    <w:tmpl w:val="D2EA06E0"/>
    <w:lvl w:ilvl="0" w:tplc="29A60E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69D66E1"/>
    <w:multiLevelType w:val="hybridMultilevel"/>
    <w:tmpl w:val="4AC03D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8BE011B"/>
    <w:multiLevelType w:val="hybridMultilevel"/>
    <w:tmpl w:val="0FB4ED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B42394"/>
    <w:multiLevelType w:val="hybridMultilevel"/>
    <w:tmpl w:val="0FB4ED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71040E"/>
    <w:multiLevelType w:val="hybridMultilevel"/>
    <w:tmpl w:val="55E22814"/>
    <w:lvl w:ilvl="0" w:tplc="D5443364">
      <w:start w:val="1"/>
      <w:numFmt w:val="decimal"/>
      <w:lvlText w:val="[1]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D15BE5"/>
    <w:multiLevelType w:val="hybridMultilevel"/>
    <w:tmpl w:val="6C66ED70"/>
    <w:lvl w:ilvl="0" w:tplc="D5443364">
      <w:start w:val="1"/>
      <w:numFmt w:val="decimal"/>
      <w:lvlText w:val="[1]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5" w15:restartNumberingAfterBreak="0">
    <w:nsid w:val="5AD60A6C"/>
    <w:multiLevelType w:val="hybridMultilevel"/>
    <w:tmpl w:val="0FB4ED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BEE139C"/>
    <w:multiLevelType w:val="multilevel"/>
    <w:tmpl w:val="F82C4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8" w15:restartNumberingAfterBreak="0">
    <w:nsid w:val="63003AF9"/>
    <w:multiLevelType w:val="hybridMultilevel"/>
    <w:tmpl w:val="3C4ECE9A"/>
    <w:lvl w:ilvl="0" w:tplc="8C2049D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EB73CBC"/>
    <w:multiLevelType w:val="hybridMultilevel"/>
    <w:tmpl w:val="6DEA20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09D0A2C"/>
    <w:multiLevelType w:val="hybridMultilevel"/>
    <w:tmpl w:val="20384848"/>
    <w:lvl w:ilvl="0" w:tplc="29A60E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45986634">
    <w:abstractNumId w:val="14"/>
  </w:num>
  <w:num w:numId="2" w16cid:durableId="415829331">
    <w:abstractNumId w:val="5"/>
  </w:num>
  <w:num w:numId="3" w16cid:durableId="171647712">
    <w:abstractNumId w:val="17"/>
  </w:num>
  <w:num w:numId="4" w16cid:durableId="2078357252">
    <w:abstractNumId w:val="13"/>
  </w:num>
  <w:num w:numId="5" w16cid:durableId="1032877122">
    <w:abstractNumId w:val="4"/>
  </w:num>
  <w:num w:numId="6" w16cid:durableId="117846593">
    <w:abstractNumId w:val="8"/>
  </w:num>
  <w:num w:numId="7" w16cid:durableId="2030132024">
    <w:abstractNumId w:val="3"/>
  </w:num>
  <w:num w:numId="8" w16cid:durableId="920068938">
    <w:abstractNumId w:val="18"/>
  </w:num>
  <w:num w:numId="9" w16cid:durableId="1846243906">
    <w:abstractNumId w:val="16"/>
  </w:num>
  <w:num w:numId="10" w16cid:durableId="1136724848">
    <w:abstractNumId w:val="15"/>
  </w:num>
  <w:num w:numId="11" w16cid:durableId="144248090">
    <w:abstractNumId w:val="9"/>
  </w:num>
  <w:num w:numId="12" w16cid:durableId="371227333">
    <w:abstractNumId w:val="10"/>
  </w:num>
  <w:num w:numId="13" w16cid:durableId="438067866">
    <w:abstractNumId w:val="2"/>
  </w:num>
  <w:num w:numId="14" w16cid:durableId="599290163">
    <w:abstractNumId w:val="12"/>
  </w:num>
  <w:num w:numId="15" w16cid:durableId="373509309">
    <w:abstractNumId w:val="11"/>
  </w:num>
  <w:num w:numId="16" w16cid:durableId="230359938">
    <w:abstractNumId w:val="6"/>
  </w:num>
  <w:num w:numId="17" w16cid:durableId="647247885">
    <w:abstractNumId w:val="0"/>
  </w:num>
  <w:num w:numId="18" w16cid:durableId="1308432963">
    <w:abstractNumId w:val="19"/>
  </w:num>
  <w:num w:numId="19" w16cid:durableId="596402572">
    <w:abstractNumId w:val="1"/>
  </w:num>
  <w:num w:numId="20" w16cid:durableId="293877593">
    <w:abstractNumId w:val="20"/>
  </w:num>
  <w:num w:numId="21" w16cid:durableId="506331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wM7c0szAyNDA1NDVU0lEKTi0uzszPAykwrAUAeRkIjCwAAAA="/>
  </w:docVars>
  <w:rsids>
    <w:rsidRoot w:val="00A479CC"/>
    <w:rsid w:val="00006ED5"/>
    <w:rsid w:val="00015D76"/>
    <w:rsid w:val="000301BD"/>
    <w:rsid w:val="00034196"/>
    <w:rsid w:val="000345AF"/>
    <w:rsid w:val="00046607"/>
    <w:rsid w:val="00050F11"/>
    <w:rsid w:val="0005719D"/>
    <w:rsid w:val="00061BAB"/>
    <w:rsid w:val="000720A4"/>
    <w:rsid w:val="000738EB"/>
    <w:rsid w:val="000752C7"/>
    <w:rsid w:val="00077048"/>
    <w:rsid w:val="00083ADA"/>
    <w:rsid w:val="0009661F"/>
    <w:rsid w:val="000976A9"/>
    <w:rsid w:val="000A19E6"/>
    <w:rsid w:val="000A676B"/>
    <w:rsid w:val="000B35DB"/>
    <w:rsid w:val="000B416B"/>
    <w:rsid w:val="000C7385"/>
    <w:rsid w:val="000D19FB"/>
    <w:rsid w:val="000D42FF"/>
    <w:rsid w:val="00101405"/>
    <w:rsid w:val="00103790"/>
    <w:rsid w:val="001079E9"/>
    <w:rsid w:val="00124723"/>
    <w:rsid w:val="00126BD9"/>
    <w:rsid w:val="00131227"/>
    <w:rsid w:val="00143DA3"/>
    <w:rsid w:val="00146E56"/>
    <w:rsid w:val="00151D50"/>
    <w:rsid w:val="00152A50"/>
    <w:rsid w:val="00157EF4"/>
    <w:rsid w:val="00171248"/>
    <w:rsid w:val="0018382C"/>
    <w:rsid w:val="00191DEA"/>
    <w:rsid w:val="00192585"/>
    <w:rsid w:val="00196911"/>
    <w:rsid w:val="001A4854"/>
    <w:rsid w:val="001A6A21"/>
    <w:rsid w:val="001B504D"/>
    <w:rsid w:val="001D37EB"/>
    <w:rsid w:val="001D461D"/>
    <w:rsid w:val="001E1ABE"/>
    <w:rsid w:val="001F2B4F"/>
    <w:rsid w:val="001F39EB"/>
    <w:rsid w:val="00200D00"/>
    <w:rsid w:val="0020287D"/>
    <w:rsid w:val="002047F6"/>
    <w:rsid w:val="00205B83"/>
    <w:rsid w:val="00213C3E"/>
    <w:rsid w:val="00221649"/>
    <w:rsid w:val="00233645"/>
    <w:rsid w:val="00255446"/>
    <w:rsid w:val="002574F9"/>
    <w:rsid w:val="00260581"/>
    <w:rsid w:val="00273DC1"/>
    <w:rsid w:val="00284166"/>
    <w:rsid w:val="0028500B"/>
    <w:rsid w:val="00295F3F"/>
    <w:rsid w:val="00296FFE"/>
    <w:rsid w:val="002A09D2"/>
    <w:rsid w:val="002A28FF"/>
    <w:rsid w:val="002A2C78"/>
    <w:rsid w:val="002B08BE"/>
    <w:rsid w:val="002B2661"/>
    <w:rsid w:val="002B5188"/>
    <w:rsid w:val="002D2C6E"/>
    <w:rsid w:val="002D75F0"/>
    <w:rsid w:val="002F50F4"/>
    <w:rsid w:val="00302C14"/>
    <w:rsid w:val="00316FB5"/>
    <w:rsid w:val="003208A8"/>
    <w:rsid w:val="003218C4"/>
    <w:rsid w:val="0032335D"/>
    <w:rsid w:val="003262D8"/>
    <w:rsid w:val="003352FD"/>
    <w:rsid w:val="00335500"/>
    <w:rsid w:val="00345620"/>
    <w:rsid w:val="0035127D"/>
    <w:rsid w:val="00351773"/>
    <w:rsid w:val="00353AF2"/>
    <w:rsid w:val="00361C58"/>
    <w:rsid w:val="00365695"/>
    <w:rsid w:val="00377E4F"/>
    <w:rsid w:val="003806D7"/>
    <w:rsid w:val="0038377A"/>
    <w:rsid w:val="00396AC5"/>
    <w:rsid w:val="003C1BDF"/>
    <w:rsid w:val="003C2791"/>
    <w:rsid w:val="003C67BE"/>
    <w:rsid w:val="003D2D7C"/>
    <w:rsid w:val="003D79B6"/>
    <w:rsid w:val="003E01BB"/>
    <w:rsid w:val="003E116A"/>
    <w:rsid w:val="003F4C58"/>
    <w:rsid w:val="003F6812"/>
    <w:rsid w:val="003F7981"/>
    <w:rsid w:val="00402A96"/>
    <w:rsid w:val="00406A44"/>
    <w:rsid w:val="00407CB7"/>
    <w:rsid w:val="00412175"/>
    <w:rsid w:val="004154E5"/>
    <w:rsid w:val="00420809"/>
    <w:rsid w:val="00421769"/>
    <w:rsid w:val="00426714"/>
    <w:rsid w:val="00432896"/>
    <w:rsid w:val="00433EB9"/>
    <w:rsid w:val="0045062B"/>
    <w:rsid w:val="004527ED"/>
    <w:rsid w:val="00454C65"/>
    <w:rsid w:val="004553D5"/>
    <w:rsid w:val="004652BC"/>
    <w:rsid w:val="004667C9"/>
    <w:rsid w:val="0046746B"/>
    <w:rsid w:val="00474A92"/>
    <w:rsid w:val="0049280B"/>
    <w:rsid w:val="00494585"/>
    <w:rsid w:val="004A17B7"/>
    <w:rsid w:val="004B364E"/>
    <w:rsid w:val="004C7286"/>
    <w:rsid w:val="004C77FF"/>
    <w:rsid w:val="004E1C57"/>
    <w:rsid w:val="004E3318"/>
    <w:rsid w:val="004E4F11"/>
    <w:rsid w:val="004F2443"/>
    <w:rsid w:val="004F3A29"/>
    <w:rsid w:val="00503BE7"/>
    <w:rsid w:val="00520494"/>
    <w:rsid w:val="00521A42"/>
    <w:rsid w:val="00524C86"/>
    <w:rsid w:val="00531D80"/>
    <w:rsid w:val="00541A6C"/>
    <w:rsid w:val="00543531"/>
    <w:rsid w:val="005711CF"/>
    <w:rsid w:val="005755C8"/>
    <w:rsid w:val="00591703"/>
    <w:rsid w:val="005B75F7"/>
    <w:rsid w:val="005C275F"/>
    <w:rsid w:val="005D047D"/>
    <w:rsid w:val="005D75DD"/>
    <w:rsid w:val="005E7C13"/>
    <w:rsid w:val="005F0341"/>
    <w:rsid w:val="005F259A"/>
    <w:rsid w:val="005F4955"/>
    <w:rsid w:val="00602401"/>
    <w:rsid w:val="0061392C"/>
    <w:rsid w:val="00615522"/>
    <w:rsid w:val="00626748"/>
    <w:rsid w:val="006317B8"/>
    <w:rsid w:val="006434BC"/>
    <w:rsid w:val="00646E6E"/>
    <w:rsid w:val="0065756E"/>
    <w:rsid w:val="006613A5"/>
    <w:rsid w:val="00662439"/>
    <w:rsid w:val="00663852"/>
    <w:rsid w:val="00691E6E"/>
    <w:rsid w:val="00695646"/>
    <w:rsid w:val="00695C0E"/>
    <w:rsid w:val="00696A76"/>
    <w:rsid w:val="006A1B1C"/>
    <w:rsid w:val="006A2DBF"/>
    <w:rsid w:val="006A5274"/>
    <w:rsid w:val="006C7C09"/>
    <w:rsid w:val="006C7C62"/>
    <w:rsid w:val="006D05F6"/>
    <w:rsid w:val="006D6772"/>
    <w:rsid w:val="006F7366"/>
    <w:rsid w:val="007106E9"/>
    <w:rsid w:val="00724BE9"/>
    <w:rsid w:val="0075246A"/>
    <w:rsid w:val="00756C99"/>
    <w:rsid w:val="0075790C"/>
    <w:rsid w:val="00773FA7"/>
    <w:rsid w:val="00784BF0"/>
    <w:rsid w:val="007A2750"/>
    <w:rsid w:val="007A63B3"/>
    <w:rsid w:val="007A6E8C"/>
    <w:rsid w:val="007B3D28"/>
    <w:rsid w:val="007B4D60"/>
    <w:rsid w:val="007C1BEE"/>
    <w:rsid w:val="007D2B10"/>
    <w:rsid w:val="007E36C4"/>
    <w:rsid w:val="007F3A1C"/>
    <w:rsid w:val="007F4EDC"/>
    <w:rsid w:val="008129B9"/>
    <w:rsid w:val="00821A4A"/>
    <w:rsid w:val="008231D3"/>
    <w:rsid w:val="00840DB9"/>
    <w:rsid w:val="00847194"/>
    <w:rsid w:val="00852DAE"/>
    <w:rsid w:val="008537D3"/>
    <w:rsid w:val="0086103A"/>
    <w:rsid w:val="00874A1F"/>
    <w:rsid w:val="00876803"/>
    <w:rsid w:val="0088057B"/>
    <w:rsid w:val="00883254"/>
    <w:rsid w:val="00890792"/>
    <w:rsid w:val="0089644B"/>
    <w:rsid w:val="008A3098"/>
    <w:rsid w:val="008A446E"/>
    <w:rsid w:val="008B4948"/>
    <w:rsid w:val="008B6155"/>
    <w:rsid w:val="008B6FA5"/>
    <w:rsid w:val="008B78D1"/>
    <w:rsid w:val="008C2FF2"/>
    <w:rsid w:val="008D551C"/>
    <w:rsid w:val="008F2937"/>
    <w:rsid w:val="008F3D86"/>
    <w:rsid w:val="008F5DC7"/>
    <w:rsid w:val="008F6F54"/>
    <w:rsid w:val="008F79FF"/>
    <w:rsid w:val="00901592"/>
    <w:rsid w:val="00903DD2"/>
    <w:rsid w:val="009309D6"/>
    <w:rsid w:val="009314BF"/>
    <w:rsid w:val="00936746"/>
    <w:rsid w:val="009458AB"/>
    <w:rsid w:val="00946C08"/>
    <w:rsid w:val="00957145"/>
    <w:rsid w:val="00976492"/>
    <w:rsid w:val="00981A00"/>
    <w:rsid w:val="00986D31"/>
    <w:rsid w:val="009A6FA7"/>
    <w:rsid w:val="009B3E5C"/>
    <w:rsid w:val="009B4F67"/>
    <w:rsid w:val="009C02BF"/>
    <w:rsid w:val="009C23F6"/>
    <w:rsid w:val="009C7293"/>
    <w:rsid w:val="009E0F7C"/>
    <w:rsid w:val="009E276B"/>
    <w:rsid w:val="009E5517"/>
    <w:rsid w:val="009E7DC6"/>
    <w:rsid w:val="009F2909"/>
    <w:rsid w:val="00A168D6"/>
    <w:rsid w:val="00A17DF2"/>
    <w:rsid w:val="00A2086C"/>
    <w:rsid w:val="00A31C1B"/>
    <w:rsid w:val="00A358B3"/>
    <w:rsid w:val="00A479CC"/>
    <w:rsid w:val="00A5455F"/>
    <w:rsid w:val="00A6061F"/>
    <w:rsid w:val="00A62B13"/>
    <w:rsid w:val="00A72C89"/>
    <w:rsid w:val="00A84C1C"/>
    <w:rsid w:val="00A84F8D"/>
    <w:rsid w:val="00A91959"/>
    <w:rsid w:val="00A92262"/>
    <w:rsid w:val="00AB147D"/>
    <w:rsid w:val="00AB1DFD"/>
    <w:rsid w:val="00AC1D70"/>
    <w:rsid w:val="00AD42C2"/>
    <w:rsid w:val="00AD68C4"/>
    <w:rsid w:val="00AE0EED"/>
    <w:rsid w:val="00AE6701"/>
    <w:rsid w:val="00AF134D"/>
    <w:rsid w:val="00AF3D5D"/>
    <w:rsid w:val="00AF6572"/>
    <w:rsid w:val="00AF6E71"/>
    <w:rsid w:val="00B062F6"/>
    <w:rsid w:val="00B07E44"/>
    <w:rsid w:val="00B13CFD"/>
    <w:rsid w:val="00B31E57"/>
    <w:rsid w:val="00B41576"/>
    <w:rsid w:val="00B45F51"/>
    <w:rsid w:val="00B46A44"/>
    <w:rsid w:val="00B47D3B"/>
    <w:rsid w:val="00B523B9"/>
    <w:rsid w:val="00B56229"/>
    <w:rsid w:val="00B60228"/>
    <w:rsid w:val="00B606CF"/>
    <w:rsid w:val="00B64F31"/>
    <w:rsid w:val="00B67480"/>
    <w:rsid w:val="00B85943"/>
    <w:rsid w:val="00BA3D48"/>
    <w:rsid w:val="00BA4D47"/>
    <w:rsid w:val="00BD0A15"/>
    <w:rsid w:val="00BE4E07"/>
    <w:rsid w:val="00BE51E0"/>
    <w:rsid w:val="00C059C3"/>
    <w:rsid w:val="00C10303"/>
    <w:rsid w:val="00C35180"/>
    <w:rsid w:val="00C4002A"/>
    <w:rsid w:val="00C43A7F"/>
    <w:rsid w:val="00C47595"/>
    <w:rsid w:val="00C61561"/>
    <w:rsid w:val="00C6693B"/>
    <w:rsid w:val="00C75C0F"/>
    <w:rsid w:val="00C84EBF"/>
    <w:rsid w:val="00C90BBD"/>
    <w:rsid w:val="00C910EB"/>
    <w:rsid w:val="00C91408"/>
    <w:rsid w:val="00C92399"/>
    <w:rsid w:val="00C94362"/>
    <w:rsid w:val="00C96281"/>
    <w:rsid w:val="00CA7612"/>
    <w:rsid w:val="00CB281E"/>
    <w:rsid w:val="00CC2E5E"/>
    <w:rsid w:val="00CE5BE3"/>
    <w:rsid w:val="00CE6C10"/>
    <w:rsid w:val="00D07B20"/>
    <w:rsid w:val="00D10C5A"/>
    <w:rsid w:val="00D25E18"/>
    <w:rsid w:val="00D32597"/>
    <w:rsid w:val="00D366A0"/>
    <w:rsid w:val="00D5052D"/>
    <w:rsid w:val="00D5186C"/>
    <w:rsid w:val="00D746AA"/>
    <w:rsid w:val="00D758F5"/>
    <w:rsid w:val="00DA4FDB"/>
    <w:rsid w:val="00DC7AF8"/>
    <w:rsid w:val="00DD00D5"/>
    <w:rsid w:val="00DE2481"/>
    <w:rsid w:val="00E04EA9"/>
    <w:rsid w:val="00E1438C"/>
    <w:rsid w:val="00E162E7"/>
    <w:rsid w:val="00E179AF"/>
    <w:rsid w:val="00E20700"/>
    <w:rsid w:val="00E309B8"/>
    <w:rsid w:val="00E31843"/>
    <w:rsid w:val="00E3395E"/>
    <w:rsid w:val="00E35219"/>
    <w:rsid w:val="00E4081C"/>
    <w:rsid w:val="00E67901"/>
    <w:rsid w:val="00E71711"/>
    <w:rsid w:val="00E80D5E"/>
    <w:rsid w:val="00E82AA6"/>
    <w:rsid w:val="00E83E40"/>
    <w:rsid w:val="00E86604"/>
    <w:rsid w:val="00E9239C"/>
    <w:rsid w:val="00E945BE"/>
    <w:rsid w:val="00EA08F2"/>
    <w:rsid w:val="00EA0949"/>
    <w:rsid w:val="00EA45B7"/>
    <w:rsid w:val="00EB61B4"/>
    <w:rsid w:val="00EC23D7"/>
    <w:rsid w:val="00ED298A"/>
    <w:rsid w:val="00EE0828"/>
    <w:rsid w:val="00EE1CDC"/>
    <w:rsid w:val="00EE27EA"/>
    <w:rsid w:val="00EF4BC9"/>
    <w:rsid w:val="00F125B8"/>
    <w:rsid w:val="00F12F68"/>
    <w:rsid w:val="00F1497F"/>
    <w:rsid w:val="00F33778"/>
    <w:rsid w:val="00F35522"/>
    <w:rsid w:val="00F6046A"/>
    <w:rsid w:val="00F61213"/>
    <w:rsid w:val="00F739C6"/>
    <w:rsid w:val="00F772BC"/>
    <w:rsid w:val="00F80874"/>
    <w:rsid w:val="00F84DAD"/>
    <w:rsid w:val="00FC01D8"/>
    <w:rsid w:val="00FC6861"/>
    <w:rsid w:val="00FC6EBB"/>
    <w:rsid w:val="00FD2683"/>
    <w:rsid w:val="00FD5C78"/>
    <w:rsid w:val="00FE6589"/>
    <w:rsid w:val="00FF2A95"/>
    <w:rsid w:val="00FF4B4B"/>
    <w:rsid w:val="00FF5A61"/>
    <w:rsid w:val="00FF64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F51A"/>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C0F"/>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customStyle="1" w:styleId="UnresolvedMention1">
    <w:name w:val="Unresolved Mention1"/>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uiPriority w:val="39"/>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C75C0F"/>
    <w:pPr>
      <w:keepNext/>
      <w:numPr>
        <w:numId w:val="1"/>
      </w:numPr>
      <w:suppressAutoHyphens/>
      <w:spacing w:before="240" w:after="240" w:line="240" w:lineRule="exact"/>
    </w:pPr>
    <w:rPr>
      <w:rFonts w:ascii="Times New Roman" w:eastAsia="SimSun" w:hAnsi="Times New Roman" w:cs="Times New Roman"/>
      <w:b/>
      <w:sz w:val="22"/>
      <w:szCs w:val="20"/>
      <w:lang w:val="en-US"/>
    </w:rPr>
  </w:style>
  <w:style w:type="paragraph" w:customStyle="1" w:styleId="Els-2ndorder-head">
    <w:name w:val="Els-2ndorder-head"/>
    <w:next w:val="Els-body-text"/>
    <w:rsid w:val="00C75C0F"/>
    <w:pPr>
      <w:keepNext/>
      <w:numPr>
        <w:ilvl w:val="1"/>
        <w:numId w:val="1"/>
      </w:numPr>
      <w:suppressAutoHyphens/>
      <w:spacing w:before="240" w:after="240" w:line="240" w:lineRule="exact"/>
    </w:pPr>
    <w:rPr>
      <w:rFonts w:ascii="Times New Roman" w:eastAsia="SimSun" w:hAnsi="Times New Roman" w:cs="Times New Roman"/>
      <w:i/>
      <w:sz w:val="22"/>
      <w:szCs w:val="20"/>
      <w:lang w:val="en-US"/>
    </w:rPr>
  </w:style>
  <w:style w:type="paragraph" w:customStyle="1" w:styleId="Els-3rdorder-head">
    <w:name w:val="Els-3rdorder-head"/>
    <w:next w:val="Els-body-text"/>
    <w:rsid w:val="00C75C0F"/>
    <w:pPr>
      <w:keepNext/>
      <w:numPr>
        <w:ilvl w:val="2"/>
        <w:numId w:val="1"/>
      </w:numPr>
      <w:suppressAutoHyphens/>
      <w:spacing w:before="240" w:line="240" w:lineRule="exact"/>
    </w:pPr>
    <w:rPr>
      <w:rFonts w:ascii="Times New Roman" w:eastAsia="SimSun" w:hAnsi="Times New Roman" w:cs="Times New Roman"/>
      <w:i/>
      <w:sz w:val="22"/>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C75C0F"/>
    <w:pPr>
      <w:spacing w:line="240" w:lineRule="exact"/>
      <w:ind w:firstLine="238"/>
      <w:jc w:val="both"/>
    </w:pPr>
    <w:rPr>
      <w:rFonts w:ascii="Times New Roman" w:eastAsia="SimSun" w:hAnsi="Times New Roman" w:cs="Times New Roman"/>
      <w:sz w:val="22"/>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eastAsia="SimSu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character" w:styleId="Emphasis">
    <w:name w:val="Emphasis"/>
    <w:uiPriority w:val="20"/>
    <w:qFormat/>
    <w:rsid w:val="00353AF2"/>
    <w:rPr>
      <w:i/>
      <w:iCs/>
    </w:rPr>
  </w:style>
  <w:style w:type="paragraph" w:styleId="BalloonText">
    <w:name w:val="Balloon Text"/>
    <w:basedOn w:val="Normal"/>
    <w:link w:val="BalloonTextChar"/>
    <w:uiPriority w:val="99"/>
    <w:semiHidden/>
    <w:unhideWhenUsed/>
    <w:rsid w:val="005F03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341"/>
    <w:rPr>
      <w:rFonts w:ascii="Segoe UI" w:hAnsi="Segoe UI" w:cs="Segoe UI"/>
      <w:sz w:val="18"/>
      <w:szCs w:val="18"/>
    </w:rPr>
  </w:style>
  <w:style w:type="paragraph" w:styleId="ListParagraph">
    <w:name w:val="List Paragraph"/>
    <w:basedOn w:val="Normal"/>
    <w:link w:val="ListParagraphChar"/>
    <w:uiPriority w:val="34"/>
    <w:qFormat/>
    <w:rsid w:val="000B35DB"/>
    <w:pPr>
      <w:ind w:left="720"/>
      <w:contextualSpacing/>
    </w:pPr>
  </w:style>
  <w:style w:type="character" w:customStyle="1" w:styleId="doilabel">
    <w:name w:val="doi__label"/>
    <w:basedOn w:val="DefaultParagraphFont"/>
    <w:rsid w:val="008F3D86"/>
  </w:style>
  <w:style w:type="paragraph" w:styleId="Revision">
    <w:name w:val="Revision"/>
    <w:hidden/>
    <w:uiPriority w:val="99"/>
    <w:semiHidden/>
    <w:rsid w:val="007106E9"/>
  </w:style>
  <w:style w:type="character" w:styleId="PlaceholderText">
    <w:name w:val="Placeholder Text"/>
    <w:basedOn w:val="DefaultParagraphFont"/>
    <w:uiPriority w:val="99"/>
    <w:semiHidden/>
    <w:rsid w:val="00EA45B7"/>
    <w:rPr>
      <w:color w:val="808080"/>
    </w:rPr>
  </w:style>
  <w:style w:type="character" w:customStyle="1" w:styleId="ListParagraphChar">
    <w:name w:val="List Paragraph Char"/>
    <w:link w:val="ListParagraph"/>
    <w:uiPriority w:val="99"/>
    <w:qFormat/>
    <w:rsid w:val="00890792"/>
    <w:rPr>
      <w:rFonts w:ascii="Times New Roman" w:hAnsi="Times New Roman"/>
      <w:sz w:val="22"/>
    </w:rPr>
  </w:style>
  <w:style w:type="paragraph" w:customStyle="1" w:styleId="Tajuk">
    <w:name w:val="Tajuk"/>
    <w:basedOn w:val="Normal"/>
    <w:next w:val="BodyText"/>
    <w:qFormat/>
    <w:rsid w:val="007A2750"/>
    <w:pPr>
      <w:keepNext/>
      <w:suppressAutoHyphens/>
      <w:spacing w:before="240" w:after="120"/>
    </w:pPr>
    <w:rPr>
      <w:rFonts w:ascii="Liberation Sans" w:eastAsia="Microsoft YaHei" w:hAnsi="Liberation Sans" w:cs="Lucida Sans"/>
      <w:sz w:val="28"/>
      <w:szCs w:val="28"/>
      <w:lang w:val="zh-CN"/>
    </w:rPr>
  </w:style>
  <w:style w:type="paragraph" w:styleId="BodyText">
    <w:name w:val="Body Text"/>
    <w:basedOn w:val="Normal"/>
    <w:link w:val="BodyTextChar"/>
    <w:uiPriority w:val="99"/>
    <w:semiHidden/>
    <w:unhideWhenUsed/>
    <w:rsid w:val="007A2750"/>
    <w:pPr>
      <w:spacing w:after="120"/>
    </w:pPr>
  </w:style>
  <w:style w:type="character" w:customStyle="1" w:styleId="BodyTextChar">
    <w:name w:val="Body Text Char"/>
    <w:basedOn w:val="DefaultParagraphFont"/>
    <w:link w:val="BodyText"/>
    <w:uiPriority w:val="99"/>
    <w:semiHidden/>
    <w:rsid w:val="007A2750"/>
    <w:rPr>
      <w:rFonts w:ascii="Times New Roman" w:hAnsi="Times New Roman"/>
      <w:sz w:val="22"/>
    </w:rPr>
  </w:style>
  <w:style w:type="character" w:styleId="UnresolvedMention">
    <w:name w:val="Unresolved Mention"/>
    <w:basedOn w:val="DefaultParagraphFont"/>
    <w:uiPriority w:val="99"/>
    <w:semiHidden/>
    <w:unhideWhenUsed/>
    <w:rsid w:val="00CA7612"/>
    <w:rPr>
      <w:color w:val="605E5C"/>
      <w:shd w:val="clear" w:color="auto" w:fill="E1DFDD"/>
    </w:rPr>
  </w:style>
  <w:style w:type="table" w:styleId="PlainTable2">
    <w:name w:val="Plain Table 2"/>
    <w:basedOn w:val="TableNormal"/>
    <w:uiPriority w:val="42"/>
    <w:rsid w:val="00BE4E07"/>
    <w:rPr>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96A76"/>
    <w:rPr>
      <w:kern w:val="2"/>
      <w:sz w:val="22"/>
      <w:szCs w:val="2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atex-mathml">
    <w:name w:val="katex-mathml"/>
    <w:basedOn w:val="DefaultParagraphFont"/>
    <w:rsid w:val="005755C8"/>
  </w:style>
  <w:style w:type="character" w:customStyle="1" w:styleId="mord">
    <w:name w:val="mord"/>
    <w:basedOn w:val="DefaultParagraphFont"/>
    <w:rsid w:val="005755C8"/>
  </w:style>
  <w:style w:type="character" w:customStyle="1" w:styleId="vlist-s">
    <w:name w:val="vlist-s"/>
    <w:basedOn w:val="DefaultParagraphFont"/>
    <w:rsid w:val="005755C8"/>
  </w:style>
  <w:style w:type="paragraph" w:styleId="NoSpacing">
    <w:name w:val="No Spacing"/>
    <w:uiPriority w:val="1"/>
    <w:qFormat/>
    <w:rsid w:val="00426714"/>
    <w:rPr>
      <w:rFonts w:eastAsiaTheme="minorEastAsia"/>
      <w:sz w:val="22"/>
      <w:szCs w:val="22"/>
      <w:lang w:val="en-US"/>
    </w:rPr>
  </w:style>
  <w:style w:type="character" w:styleId="Strong">
    <w:name w:val="Strong"/>
    <w:basedOn w:val="DefaultParagraphFont"/>
    <w:uiPriority w:val="22"/>
    <w:qFormat/>
    <w:rsid w:val="00426714"/>
    <w:rPr>
      <w:b/>
      <w:bCs/>
    </w:rPr>
  </w:style>
  <w:style w:type="paragraph" w:styleId="NormalWeb">
    <w:name w:val="Normal (Web)"/>
    <w:basedOn w:val="Normal"/>
    <w:uiPriority w:val="99"/>
    <w:unhideWhenUsed/>
    <w:rsid w:val="009C02BF"/>
    <w:pPr>
      <w:spacing w:before="100" w:beforeAutospacing="1" w:after="100" w:afterAutospacing="1"/>
    </w:pPr>
    <w:rPr>
      <w:rFonts w:eastAsia="Times New Roman" w:cs="Times New Roman"/>
      <w:sz w:val="24"/>
      <w:lang w:val="en-US"/>
    </w:rPr>
  </w:style>
  <w:style w:type="paragraph" w:customStyle="1" w:styleId="pdq2pgselectionanchorcontainer">
    <w:name w:val="pdq2pg_selectionanchorcontainer"/>
    <w:basedOn w:val="Normal"/>
    <w:rsid w:val="009C02BF"/>
    <w:pPr>
      <w:spacing w:before="100" w:beforeAutospacing="1" w:after="100" w:afterAutospacing="1"/>
    </w:pPr>
    <w:rPr>
      <w:rFonts w:eastAsia="Times New Roman" w:cs="Times New Roman"/>
      <w:sz w:val="24"/>
      <w:lang w:val="en-US"/>
    </w:rPr>
  </w:style>
  <w:style w:type="paragraph" w:styleId="HTMLPreformatted">
    <w:name w:val="HTML Preformatted"/>
    <w:basedOn w:val="Normal"/>
    <w:link w:val="HTMLPreformattedChar"/>
    <w:uiPriority w:val="99"/>
    <w:unhideWhenUsed/>
    <w:rsid w:val="009C0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C02BF"/>
    <w:rPr>
      <w:rFonts w:ascii="Courier New" w:eastAsia="Times New Roman" w:hAnsi="Courier New" w:cs="Courier New"/>
      <w:sz w:val="20"/>
      <w:szCs w:val="20"/>
      <w:lang w:val="en-US"/>
    </w:rPr>
  </w:style>
  <w:style w:type="character" w:customStyle="1" w:styleId="reference">
    <w:name w:val="reference"/>
    <w:basedOn w:val="DefaultParagraphFont"/>
    <w:rsid w:val="009C0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5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sa/4.0/" TargetMode="External"/><Relationship Id="rId18" Type="http://schemas.openxmlformats.org/officeDocument/2006/relationships/image" Target="media/image8.png"/><Relationship Id="rId26" Type="http://schemas.openxmlformats.org/officeDocument/2006/relationships/hyperlink" Target="https://doi.org/10.29244/jpsl.9.3.608-625" TargetMode="External"/><Relationship Id="rId3" Type="http://schemas.openxmlformats.org/officeDocument/2006/relationships/styles" Target="styles.xml"/><Relationship Id="rId21" Type="http://schemas.openxmlformats.org/officeDocument/2006/relationships/hyperlink" Target="https://doi.org/10.1155/2023/8409374"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doi.org/10.1038/nclimate2277"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garuda.kemdiktisaintek.go.id/author/view/4045296"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hyperlink" Target="https://www.nature.com/articles/nclimate2277"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nature.com/articles/nclimate2277" TargetMode="External"/><Relationship Id="rId28" Type="http://schemas.openxmlformats.org/officeDocument/2006/relationships/header" Target="header2.xml"/><Relationship Id="rId10" Type="http://schemas.openxmlformats.org/officeDocument/2006/relationships/hyperlink" Target="mailto:ennyinsusanty@unilak.ac.id" TargetMode="External"/><Relationship Id="rId19" Type="http://schemas.openxmlformats.org/officeDocument/2006/relationships/hyperlink" Target="https://garuda.kemdiktisaintek.go.id/author/view/305491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hyperlink" Target="https://batamkota.bps.go.id/en/publication/2025/02/28/a5735c3be81a8a72f8a1e9f0/kota-batam-dalam-angka-2025.html?utm_source=chatgpt.com"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88CD8B-2E00-4E83-8651-935CECCD503D}">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E7F79-09E5-4298-B6B4-2DA56B693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6843</Words>
  <Characters>39008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GFJ</dc:creator>
  <cp:keywords/>
  <dc:description/>
  <cp:lastModifiedBy>usukehutanan laptopasus1</cp:lastModifiedBy>
  <cp:revision>45</cp:revision>
  <cp:lastPrinted>2026-07-31T08:16:00Z</cp:lastPrinted>
  <dcterms:created xsi:type="dcterms:W3CDTF">2026-07-27T09:48:00Z</dcterms:created>
  <dcterms:modified xsi:type="dcterms:W3CDTF">2026-07-31T08:16:00Z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9a09fd8f89ad775570c3a08a3706feec9f765d820fdabfae40c1e21af8b9001e</vt:lpwstr>
  </property>
</Properties>
</file>